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69" w:rsidRDefault="006F1269" w:rsidP="006F1269">
      <w:pPr>
        <w:pStyle w:val="Style1"/>
        <w:widowControl/>
        <w:spacing w:line="240" w:lineRule="auto"/>
        <w:jc w:val="center"/>
        <w:rPr>
          <w:rStyle w:val="FontStyle72"/>
          <w:rFonts w:ascii="Times New Roman" w:hAnsi="Times New Roman"/>
          <w:b w:val="0"/>
          <w:sz w:val="22"/>
          <w:szCs w:val="22"/>
        </w:rPr>
      </w:pPr>
      <w:r w:rsidRPr="00625468">
        <w:rPr>
          <w:b/>
          <w:sz w:val="22"/>
          <w:szCs w:val="22"/>
        </w:rPr>
        <w:t>«</w:t>
      </w:r>
      <w:r w:rsidRPr="00625468">
        <w:rPr>
          <w:rStyle w:val="FontStyle72"/>
          <w:rFonts w:ascii="Times New Roman" w:hAnsi="Times New Roman"/>
          <w:b w:val="0"/>
          <w:sz w:val="22"/>
          <w:szCs w:val="22"/>
        </w:rPr>
        <w:t>Таблица 5</w:t>
      </w:r>
      <w:r>
        <w:rPr>
          <w:rStyle w:val="FontStyle72"/>
          <w:rFonts w:ascii="Times New Roman" w:hAnsi="Times New Roman"/>
          <w:b w:val="0"/>
          <w:sz w:val="22"/>
          <w:szCs w:val="22"/>
        </w:rPr>
        <w:t xml:space="preserve"> </w:t>
      </w:r>
      <w:r w:rsidRPr="00625468">
        <w:rPr>
          <w:rStyle w:val="FontStyle72"/>
          <w:rFonts w:ascii="Times New Roman" w:hAnsi="Times New Roman"/>
          <w:b w:val="0"/>
          <w:sz w:val="22"/>
          <w:szCs w:val="22"/>
        </w:rPr>
        <w:t xml:space="preserve"> Объем бюджетных ассигнований на реализацию программы </w:t>
      </w:r>
    </w:p>
    <w:p w:rsidR="006F1269" w:rsidRPr="00625468" w:rsidRDefault="006F1269" w:rsidP="006F1269">
      <w:pPr>
        <w:pStyle w:val="Style1"/>
        <w:widowControl/>
        <w:spacing w:line="240" w:lineRule="auto"/>
        <w:jc w:val="center"/>
        <w:rPr>
          <w:rStyle w:val="FontStyle72"/>
          <w:rFonts w:ascii="Times New Roman" w:hAnsi="Times New Roman"/>
          <w:b w:val="0"/>
          <w:sz w:val="22"/>
          <w:szCs w:val="22"/>
        </w:rPr>
      </w:pPr>
      <w:r>
        <w:rPr>
          <w:rStyle w:val="FontStyle72"/>
          <w:rFonts w:ascii="Times New Roman" w:hAnsi="Times New Roman"/>
          <w:b w:val="0"/>
          <w:sz w:val="22"/>
          <w:szCs w:val="22"/>
        </w:rPr>
        <w:t xml:space="preserve"> </w:t>
      </w:r>
      <w:r w:rsidRPr="00625468">
        <w:rPr>
          <w:rStyle w:val="FontStyle72"/>
          <w:rFonts w:ascii="Times New Roman" w:hAnsi="Times New Roman"/>
          <w:b w:val="0"/>
          <w:sz w:val="22"/>
          <w:szCs w:val="22"/>
        </w:rPr>
        <w:t>(по видам ассигнований), тыс. руб.</w:t>
      </w:r>
    </w:p>
    <w:p w:rsidR="006F1269" w:rsidRPr="004C7291" w:rsidRDefault="006F1269" w:rsidP="006F1269">
      <w:pPr>
        <w:pStyle w:val="Style1"/>
        <w:widowControl/>
        <w:spacing w:line="240" w:lineRule="auto"/>
        <w:ind w:hanging="1440"/>
        <w:rPr>
          <w:rStyle w:val="FontStyle64"/>
        </w:rPr>
      </w:pPr>
    </w:p>
    <w:tbl>
      <w:tblPr>
        <w:tblW w:w="943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3485"/>
        <w:gridCol w:w="1301"/>
        <w:gridCol w:w="1370"/>
        <w:gridCol w:w="1260"/>
        <w:gridCol w:w="1517"/>
      </w:tblGrid>
      <w:tr w:rsidR="006F1269" w:rsidRPr="00625468" w:rsidTr="009A1C0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04" w:type="dxa"/>
          </w:tcPr>
          <w:p w:rsidR="006F1269" w:rsidRPr="00625468" w:rsidRDefault="006F1269" w:rsidP="009A1C0C">
            <w:pPr>
              <w:pStyle w:val="Style11"/>
              <w:widowControl/>
              <w:ind w:left="43"/>
              <w:jc w:val="center"/>
              <w:rPr>
                <w:rStyle w:val="FontStyle73"/>
                <w:rFonts w:ascii="Times New Roman" w:hAnsi="Times New Roman"/>
                <w:b w:val="0"/>
                <w:sz w:val="20"/>
                <w:szCs w:val="20"/>
              </w:rPr>
            </w:pPr>
            <w:r w:rsidRPr="00625468">
              <w:rPr>
                <w:rStyle w:val="FontStyle73"/>
                <w:rFonts w:ascii="Times New Roman" w:hAnsi="Times New Roman"/>
                <w:b w:val="0"/>
                <w:sz w:val="20"/>
                <w:szCs w:val="20"/>
              </w:rPr>
              <w:t>№</w:t>
            </w:r>
          </w:p>
        </w:tc>
        <w:tc>
          <w:tcPr>
            <w:tcW w:w="3485" w:type="dxa"/>
          </w:tcPr>
          <w:p w:rsidR="006F1269" w:rsidRPr="00625468" w:rsidRDefault="006F1269" w:rsidP="009A1C0C">
            <w:pPr>
              <w:pStyle w:val="Style30"/>
              <w:widowControl/>
              <w:spacing w:line="240" w:lineRule="auto"/>
              <w:ind w:left="86"/>
              <w:jc w:val="center"/>
              <w:rPr>
                <w:rStyle w:val="FontStyle67"/>
                <w:b w:val="0"/>
              </w:rPr>
            </w:pPr>
            <w:r w:rsidRPr="00625468">
              <w:rPr>
                <w:rStyle w:val="FontStyle67"/>
                <w:b w:val="0"/>
              </w:rPr>
              <w:t>Источники финансирования</w:t>
            </w:r>
          </w:p>
        </w:tc>
        <w:tc>
          <w:tcPr>
            <w:tcW w:w="1301" w:type="dxa"/>
          </w:tcPr>
          <w:p w:rsidR="006F1269" w:rsidRPr="00625468" w:rsidRDefault="006F1269" w:rsidP="009A1C0C">
            <w:pPr>
              <w:pStyle w:val="Style30"/>
              <w:widowControl/>
              <w:spacing w:line="240" w:lineRule="auto"/>
              <w:ind w:left="58"/>
              <w:jc w:val="center"/>
              <w:rPr>
                <w:rStyle w:val="FontStyle67"/>
                <w:b w:val="0"/>
              </w:rPr>
            </w:pPr>
            <w:r w:rsidRPr="00625468">
              <w:rPr>
                <w:rStyle w:val="FontStyle67"/>
                <w:b w:val="0"/>
              </w:rPr>
              <w:t>Всего</w:t>
            </w:r>
          </w:p>
        </w:tc>
        <w:tc>
          <w:tcPr>
            <w:tcW w:w="1370" w:type="dxa"/>
          </w:tcPr>
          <w:p w:rsidR="006F1269" w:rsidRPr="00625468" w:rsidRDefault="006F1269" w:rsidP="009A1C0C">
            <w:pPr>
              <w:pStyle w:val="Style30"/>
              <w:widowControl/>
              <w:spacing w:line="240" w:lineRule="auto"/>
              <w:ind w:left="264"/>
              <w:jc w:val="center"/>
              <w:rPr>
                <w:rStyle w:val="FontStyle67"/>
                <w:b w:val="0"/>
              </w:rPr>
            </w:pPr>
            <w:r w:rsidRPr="00625468">
              <w:rPr>
                <w:rStyle w:val="FontStyle67"/>
                <w:b w:val="0"/>
              </w:rPr>
              <w:t>2010</w:t>
            </w:r>
          </w:p>
        </w:tc>
        <w:tc>
          <w:tcPr>
            <w:tcW w:w="1260" w:type="dxa"/>
          </w:tcPr>
          <w:p w:rsidR="006F1269" w:rsidRPr="00625468" w:rsidRDefault="006F1269" w:rsidP="009A1C0C">
            <w:pPr>
              <w:pStyle w:val="Style30"/>
              <w:widowControl/>
              <w:spacing w:line="240" w:lineRule="auto"/>
              <w:ind w:left="134"/>
              <w:jc w:val="center"/>
              <w:rPr>
                <w:rStyle w:val="FontStyle67"/>
                <w:b w:val="0"/>
              </w:rPr>
            </w:pPr>
            <w:r w:rsidRPr="00625468">
              <w:rPr>
                <w:rStyle w:val="FontStyle67"/>
                <w:b w:val="0"/>
              </w:rPr>
              <w:t>2011</w:t>
            </w:r>
          </w:p>
        </w:tc>
        <w:tc>
          <w:tcPr>
            <w:tcW w:w="1517" w:type="dxa"/>
          </w:tcPr>
          <w:p w:rsidR="006F1269" w:rsidRPr="00625468" w:rsidRDefault="006F1269" w:rsidP="009A1C0C">
            <w:pPr>
              <w:pStyle w:val="Style30"/>
              <w:widowControl/>
              <w:spacing w:line="240" w:lineRule="auto"/>
              <w:ind w:left="140"/>
              <w:jc w:val="center"/>
              <w:rPr>
                <w:rStyle w:val="FontStyle67"/>
                <w:b w:val="0"/>
              </w:rPr>
            </w:pPr>
            <w:r w:rsidRPr="00625468">
              <w:rPr>
                <w:rStyle w:val="FontStyle67"/>
                <w:b w:val="0"/>
              </w:rPr>
              <w:t>2012</w:t>
            </w:r>
          </w:p>
        </w:tc>
      </w:tr>
      <w:tr w:rsidR="006F1269" w:rsidRPr="004C7291" w:rsidTr="009A1C0C">
        <w:tblPrEx>
          <w:tblCellMar>
            <w:top w:w="0" w:type="dxa"/>
            <w:bottom w:w="0" w:type="dxa"/>
          </w:tblCellMar>
        </w:tblPrEx>
        <w:trPr>
          <w:trHeight w:hRule="exact" w:val="1226"/>
        </w:trPr>
        <w:tc>
          <w:tcPr>
            <w:tcW w:w="504" w:type="dxa"/>
          </w:tcPr>
          <w:p w:rsidR="006F1269" w:rsidRPr="00D27C96" w:rsidRDefault="006F1269" w:rsidP="009A1C0C">
            <w:pPr>
              <w:pStyle w:val="Style33"/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:rsidR="006F1269" w:rsidRDefault="006F1269" w:rsidP="009A1C0C">
            <w:pPr>
              <w:pStyle w:val="Style31"/>
              <w:widowControl/>
              <w:spacing w:line="240" w:lineRule="auto"/>
              <w:ind w:left="77" w:right="571" w:firstLine="14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Объем бюджетных ассигн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о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ваний на реализацию пр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о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 xml:space="preserve">граммы, всего (бюджет </w:t>
            </w:r>
            <w:proofErr w:type="gramEnd"/>
          </w:p>
          <w:p w:rsidR="006F1269" w:rsidRPr="00625468" w:rsidRDefault="006F1269" w:rsidP="009A1C0C">
            <w:pPr>
              <w:pStyle w:val="Style31"/>
              <w:widowControl/>
              <w:spacing w:line="240" w:lineRule="auto"/>
              <w:ind w:left="77" w:right="571" w:firstLine="14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г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о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рода), тыс. руб.</w:t>
            </w:r>
          </w:p>
        </w:tc>
        <w:tc>
          <w:tcPr>
            <w:tcW w:w="1301" w:type="dxa"/>
          </w:tcPr>
          <w:p w:rsidR="006F1269" w:rsidRPr="00625468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625468">
              <w:rPr>
                <w:b w:val="0"/>
                <w:sz w:val="20"/>
              </w:rPr>
              <w:t>100838,72</w:t>
            </w:r>
          </w:p>
        </w:tc>
        <w:tc>
          <w:tcPr>
            <w:tcW w:w="1370" w:type="dxa"/>
          </w:tcPr>
          <w:p w:rsidR="006F1269" w:rsidRPr="00625468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625468">
              <w:rPr>
                <w:rStyle w:val="FontStyle67"/>
                <w:bCs w:val="0"/>
              </w:rPr>
              <w:t>28374,0</w:t>
            </w:r>
          </w:p>
        </w:tc>
        <w:tc>
          <w:tcPr>
            <w:tcW w:w="1260" w:type="dxa"/>
          </w:tcPr>
          <w:p w:rsidR="006F1269" w:rsidRPr="00625468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625468">
              <w:rPr>
                <w:rStyle w:val="FontStyle67"/>
                <w:bCs w:val="0"/>
              </w:rPr>
              <w:t>35138,8</w:t>
            </w:r>
          </w:p>
        </w:tc>
        <w:tc>
          <w:tcPr>
            <w:tcW w:w="1517" w:type="dxa"/>
          </w:tcPr>
          <w:p w:rsidR="006F1269" w:rsidRPr="00625468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625468">
              <w:rPr>
                <w:b w:val="0"/>
                <w:sz w:val="20"/>
              </w:rPr>
              <w:t>37325,92</w:t>
            </w:r>
          </w:p>
        </w:tc>
      </w:tr>
      <w:tr w:rsidR="006F1269" w:rsidRPr="004C7291" w:rsidTr="009A1C0C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504" w:type="dxa"/>
          </w:tcPr>
          <w:p w:rsidR="006F1269" w:rsidRPr="00D27C96" w:rsidRDefault="006F1269" w:rsidP="009A1C0C">
            <w:pPr>
              <w:pStyle w:val="Style33"/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:rsidR="006F1269" w:rsidRPr="00625468" w:rsidRDefault="006F1269" w:rsidP="009A1C0C">
            <w:pPr>
              <w:pStyle w:val="Style21"/>
              <w:widowControl/>
              <w:spacing w:line="240" w:lineRule="auto"/>
              <w:ind w:right="422" w:hanging="4"/>
              <w:rPr>
                <w:rStyle w:val="FontStyle74"/>
                <w:b w:val="0"/>
                <w:sz w:val="22"/>
                <w:szCs w:val="22"/>
              </w:rPr>
            </w:pPr>
            <w:r w:rsidRPr="00625468">
              <w:rPr>
                <w:rStyle w:val="FontStyle74"/>
                <w:b w:val="0"/>
                <w:sz w:val="22"/>
                <w:szCs w:val="22"/>
              </w:rPr>
              <w:t>Объем муниципальных услуг:</w:t>
            </w:r>
          </w:p>
        </w:tc>
        <w:tc>
          <w:tcPr>
            <w:tcW w:w="1301" w:type="dxa"/>
          </w:tcPr>
          <w:p w:rsidR="006F1269" w:rsidRPr="001E6740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1E6740">
              <w:rPr>
                <w:b w:val="0"/>
                <w:sz w:val="20"/>
              </w:rPr>
              <w:t>100838,72</w:t>
            </w:r>
          </w:p>
        </w:tc>
        <w:tc>
          <w:tcPr>
            <w:tcW w:w="1370" w:type="dxa"/>
          </w:tcPr>
          <w:p w:rsidR="006F1269" w:rsidRPr="001E6740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1E6740">
              <w:rPr>
                <w:rStyle w:val="FontStyle67"/>
                <w:bCs w:val="0"/>
              </w:rPr>
              <w:t>28374,0</w:t>
            </w:r>
          </w:p>
        </w:tc>
        <w:tc>
          <w:tcPr>
            <w:tcW w:w="1260" w:type="dxa"/>
          </w:tcPr>
          <w:p w:rsidR="006F1269" w:rsidRPr="001E6740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1E6740">
              <w:rPr>
                <w:rStyle w:val="FontStyle67"/>
                <w:bCs w:val="0"/>
              </w:rPr>
              <w:t>35138,8</w:t>
            </w:r>
          </w:p>
        </w:tc>
        <w:tc>
          <w:tcPr>
            <w:tcW w:w="1517" w:type="dxa"/>
          </w:tcPr>
          <w:p w:rsidR="006F1269" w:rsidRPr="001E6740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1E6740">
              <w:rPr>
                <w:b w:val="0"/>
                <w:sz w:val="20"/>
              </w:rPr>
              <w:t>37325,92</w:t>
            </w:r>
          </w:p>
        </w:tc>
      </w:tr>
      <w:tr w:rsidR="006F1269" w:rsidRPr="004C7291" w:rsidTr="009A1C0C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504" w:type="dxa"/>
          </w:tcPr>
          <w:p w:rsidR="006F1269" w:rsidRPr="00D27C96" w:rsidRDefault="006F1269" w:rsidP="009A1C0C">
            <w:pPr>
              <w:pStyle w:val="Style33"/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D27C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85" w:type="dxa"/>
          </w:tcPr>
          <w:p w:rsidR="006F1269" w:rsidRPr="00625468" w:rsidRDefault="006F1269" w:rsidP="009A1C0C">
            <w:pPr>
              <w:pStyle w:val="Style21"/>
              <w:widowControl/>
              <w:spacing w:line="240" w:lineRule="auto"/>
              <w:ind w:right="422" w:hanging="4"/>
              <w:jc w:val="both"/>
              <w:rPr>
                <w:rStyle w:val="FontStyle74"/>
                <w:b w:val="0"/>
                <w:sz w:val="22"/>
                <w:szCs w:val="22"/>
              </w:rPr>
            </w:pPr>
            <w:r w:rsidRPr="00625468">
              <w:rPr>
                <w:rStyle w:val="FontStyle74"/>
                <w:b w:val="0"/>
                <w:sz w:val="22"/>
                <w:szCs w:val="22"/>
              </w:rPr>
              <w:t>Услуга «Дошкольное образ</w:t>
            </w:r>
            <w:r w:rsidRPr="00625468">
              <w:rPr>
                <w:rStyle w:val="FontStyle74"/>
                <w:b w:val="0"/>
                <w:sz w:val="22"/>
                <w:szCs w:val="22"/>
              </w:rPr>
              <w:t>о</w:t>
            </w:r>
            <w:r w:rsidRPr="00625468">
              <w:rPr>
                <w:rStyle w:val="FontStyle74"/>
                <w:b w:val="0"/>
                <w:sz w:val="22"/>
                <w:szCs w:val="22"/>
              </w:rPr>
              <w:t>вание детей»</w:t>
            </w:r>
          </w:p>
        </w:tc>
        <w:tc>
          <w:tcPr>
            <w:tcW w:w="1301" w:type="dxa"/>
          </w:tcPr>
          <w:p w:rsidR="006F1269" w:rsidRPr="004C3F43" w:rsidRDefault="006F1269" w:rsidP="009A1C0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C3F43">
              <w:rPr>
                <w:sz w:val="20"/>
                <w:szCs w:val="20"/>
                <w:lang w:eastAsia="ru-RU"/>
              </w:rPr>
              <w:t>38231,52</w:t>
            </w:r>
          </w:p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</w:p>
        </w:tc>
        <w:tc>
          <w:tcPr>
            <w:tcW w:w="1370" w:type="dxa"/>
          </w:tcPr>
          <w:p w:rsidR="006F1269" w:rsidRPr="004C3F43" w:rsidRDefault="006F1269" w:rsidP="009A1C0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C3F43">
              <w:rPr>
                <w:sz w:val="20"/>
                <w:szCs w:val="20"/>
                <w:lang w:eastAsia="ru-RU"/>
              </w:rPr>
              <w:t>10397,6</w:t>
            </w:r>
          </w:p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</w:p>
        </w:tc>
        <w:tc>
          <w:tcPr>
            <w:tcW w:w="1260" w:type="dxa"/>
          </w:tcPr>
          <w:p w:rsidR="006F1269" w:rsidRPr="004C3F43" w:rsidRDefault="006F1269" w:rsidP="009A1C0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C3F43">
              <w:rPr>
                <w:sz w:val="20"/>
                <w:szCs w:val="20"/>
                <w:lang w:eastAsia="ru-RU"/>
              </w:rPr>
              <w:t>13108,8</w:t>
            </w:r>
          </w:p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</w:p>
        </w:tc>
        <w:tc>
          <w:tcPr>
            <w:tcW w:w="1517" w:type="dxa"/>
          </w:tcPr>
          <w:p w:rsidR="006F1269" w:rsidRPr="004C3F43" w:rsidRDefault="006F1269" w:rsidP="009A1C0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FontStyle67"/>
                <w:bCs w:val="0"/>
              </w:rPr>
            </w:pPr>
            <w:r w:rsidRPr="004C3F43">
              <w:rPr>
                <w:sz w:val="20"/>
                <w:szCs w:val="20"/>
              </w:rPr>
              <w:t>14725,12</w:t>
            </w:r>
          </w:p>
        </w:tc>
      </w:tr>
      <w:tr w:rsidR="006F1269" w:rsidRPr="004C7291" w:rsidTr="009A1C0C">
        <w:tblPrEx>
          <w:tblCellMar>
            <w:top w:w="0" w:type="dxa"/>
            <w:bottom w:w="0" w:type="dxa"/>
          </w:tblCellMar>
        </w:tblPrEx>
        <w:trPr>
          <w:trHeight w:hRule="exact" w:val="906"/>
        </w:trPr>
        <w:tc>
          <w:tcPr>
            <w:tcW w:w="504" w:type="dxa"/>
          </w:tcPr>
          <w:p w:rsidR="006F1269" w:rsidRPr="00D27C96" w:rsidRDefault="006F1269" w:rsidP="009A1C0C">
            <w:pPr>
              <w:pStyle w:val="Style33"/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485" w:type="dxa"/>
          </w:tcPr>
          <w:p w:rsidR="006F1269" w:rsidRDefault="006F1269" w:rsidP="009A1C0C">
            <w:pPr>
              <w:pStyle w:val="Style21"/>
              <w:widowControl/>
              <w:spacing w:line="240" w:lineRule="auto"/>
              <w:ind w:left="30" w:right="422" w:hanging="6"/>
              <w:jc w:val="both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 xml:space="preserve">Услуга «Начальное общее, </w:t>
            </w:r>
            <w:r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основное и среднее (полное) общее  о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б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разование»</w:t>
            </w:r>
          </w:p>
          <w:p w:rsidR="006F1269" w:rsidRDefault="006F1269" w:rsidP="009A1C0C">
            <w:pPr>
              <w:pStyle w:val="Style21"/>
              <w:widowControl/>
              <w:spacing w:line="240" w:lineRule="auto"/>
              <w:ind w:left="30" w:right="422" w:hanging="6"/>
              <w:jc w:val="both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</w:p>
          <w:p w:rsidR="006F1269" w:rsidRDefault="006F1269" w:rsidP="009A1C0C">
            <w:pPr>
              <w:pStyle w:val="Style21"/>
              <w:widowControl/>
              <w:spacing w:line="240" w:lineRule="auto"/>
              <w:ind w:left="30" w:right="422" w:hanging="6"/>
              <w:jc w:val="both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</w:p>
          <w:p w:rsidR="006F1269" w:rsidRDefault="006F1269" w:rsidP="009A1C0C">
            <w:pPr>
              <w:pStyle w:val="Style21"/>
              <w:widowControl/>
              <w:spacing w:line="240" w:lineRule="auto"/>
              <w:ind w:left="30" w:right="422" w:hanging="6"/>
              <w:jc w:val="both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</w:p>
          <w:p w:rsidR="006F1269" w:rsidRDefault="006F1269" w:rsidP="009A1C0C">
            <w:pPr>
              <w:pStyle w:val="Style21"/>
              <w:widowControl/>
              <w:spacing w:line="240" w:lineRule="auto"/>
              <w:ind w:left="30" w:right="422" w:hanging="6"/>
              <w:jc w:val="both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</w:p>
          <w:p w:rsidR="006F1269" w:rsidRPr="00625468" w:rsidRDefault="006F1269" w:rsidP="009A1C0C">
            <w:pPr>
              <w:pStyle w:val="Style21"/>
              <w:widowControl/>
              <w:spacing w:line="240" w:lineRule="auto"/>
              <w:ind w:left="30" w:right="422" w:hanging="6"/>
              <w:jc w:val="both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1" w:type="dxa"/>
          </w:tcPr>
          <w:p w:rsidR="006F1269" w:rsidRPr="004C3F43" w:rsidRDefault="006F1269" w:rsidP="009A1C0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C3F43">
              <w:rPr>
                <w:sz w:val="20"/>
                <w:szCs w:val="20"/>
                <w:lang w:eastAsia="ru-RU"/>
              </w:rPr>
              <w:t>34</w:t>
            </w:r>
            <w:r>
              <w:rPr>
                <w:sz w:val="20"/>
                <w:szCs w:val="20"/>
                <w:lang w:eastAsia="ru-RU"/>
              </w:rPr>
              <w:t>319</w:t>
            </w:r>
            <w:r w:rsidRPr="004C3F43">
              <w:rPr>
                <w:sz w:val="20"/>
                <w:szCs w:val="20"/>
                <w:lang w:eastAsia="ru-RU"/>
              </w:rPr>
              <w:t>,7</w:t>
            </w:r>
          </w:p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</w:p>
        </w:tc>
        <w:tc>
          <w:tcPr>
            <w:tcW w:w="1370" w:type="dxa"/>
          </w:tcPr>
          <w:p w:rsidR="006F1269" w:rsidRPr="004C3F43" w:rsidRDefault="006F1269" w:rsidP="009A1C0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C3F43">
              <w:rPr>
                <w:sz w:val="20"/>
                <w:szCs w:val="20"/>
                <w:lang w:eastAsia="ru-RU"/>
              </w:rPr>
              <w:t>9848,2</w:t>
            </w:r>
          </w:p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</w:p>
        </w:tc>
        <w:tc>
          <w:tcPr>
            <w:tcW w:w="1260" w:type="dxa"/>
          </w:tcPr>
          <w:p w:rsidR="006F1269" w:rsidRPr="004C3F43" w:rsidRDefault="006F1269" w:rsidP="009A1C0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C3F43">
              <w:rPr>
                <w:sz w:val="20"/>
                <w:szCs w:val="20"/>
                <w:lang w:eastAsia="ru-RU"/>
              </w:rPr>
              <w:t>11752,2</w:t>
            </w:r>
          </w:p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</w:p>
        </w:tc>
        <w:tc>
          <w:tcPr>
            <w:tcW w:w="1517" w:type="dxa"/>
          </w:tcPr>
          <w:p w:rsidR="006F1269" w:rsidRPr="004C3F43" w:rsidRDefault="006F1269" w:rsidP="009A1C0C">
            <w:pPr>
              <w:suppressAutoHyphens w:val="0"/>
              <w:autoSpaceDE w:val="0"/>
              <w:autoSpaceDN w:val="0"/>
              <w:adjustRightInd w:val="0"/>
              <w:jc w:val="center"/>
              <w:rPr>
                <w:rStyle w:val="FontStyle67"/>
                <w:bCs w:val="0"/>
              </w:rPr>
            </w:pPr>
            <w:r w:rsidRPr="004C3F4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719</w:t>
            </w:r>
            <w:r w:rsidRPr="004C3F43">
              <w:rPr>
                <w:sz w:val="20"/>
                <w:szCs w:val="20"/>
              </w:rPr>
              <w:t>,3</w:t>
            </w:r>
          </w:p>
        </w:tc>
      </w:tr>
      <w:tr w:rsidR="006F1269" w:rsidRPr="004C7291" w:rsidTr="009A1C0C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504" w:type="dxa"/>
          </w:tcPr>
          <w:p w:rsidR="006F1269" w:rsidRDefault="006F1269" w:rsidP="009A1C0C">
            <w:pPr>
              <w:pStyle w:val="Style33"/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485" w:type="dxa"/>
          </w:tcPr>
          <w:p w:rsidR="006F1269" w:rsidRPr="00625468" w:rsidRDefault="006F1269" w:rsidP="009A1C0C">
            <w:pPr>
              <w:pStyle w:val="Style21"/>
              <w:widowControl/>
              <w:spacing w:line="240" w:lineRule="auto"/>
              <w:ind w:left="30" w:right="422" w:hanging="6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Услуга «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Дополнительное           обр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а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зование детей»</w:t>
            </w:r>
          </w:p>
        </w:tc>
        <w:tc>
          <w:tcPr>
            <w:tcW w:w="1301" w:type="dxa"/>
          </w:tcPr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4C3F43">
              <w:rPr>
                <w:rStyle w:val="FontStyle67"/>
                <w:bCs w:val="0"/>
              </w:rPr>
              <w:t>5843,8</w:t>
            </w:r>
          </w:p>
        </w:tc>
        <w:tc>
          <w:tcPr>
            <w:tcW w:w="1370" w:type="dxa"/>
          </w:tcPr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4C3F43">
              <w:rPr>
                <w:rStyle w:val="FontStyle67"/>
                <w:bCs w:val="0"/>
              </w:rPr>
              <w:t>1471,3</w:t>
            </w:r>
          </w:p>
        </w:tc>
        <w:tc>
          <w:tcPr>
            <w:tcW w:w="1260" w:type="dxa"/>
          </w:tcPr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4C3F43">
              <w:rPr>
                <w:rStyle w:val="FontStyle67"/>
                <w:bCs w:val="0"/>
              </w:rPr>
              <w:t>2373,5</w:t>
            </w:r>
          </w:p>
        </w:tc>
        <w:tc>
          <w:tcPr>
            <w:tcW w:w="1517" w:type="dxa"/>
          </w:tcPr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4C3F43">
              <w:rPr>
                <w:rStyle w:val="FontStyle67"/>
                <w:bCs w:val="0"/>
              </w:rPr>
              <w:t>1999,0</w:t>
            </w:r>
          </w:p>
        </w:tc>
      </w:tr>
      <w:tr w:rsidR="006F1269" w:rsidRPr="004C7291" w:rsidTr="009A1C0C">
        <w:tblPrEx>
          <w:tblCellMar>
            <w:top w:w="0" w:type="dxa"/>
            <w:bottom w:w="0" w:type="dxa"/>
          </w:tblCellMar>
        </w:tblPrEx>
        <w:trPr>
          <w:trHeight w:hRule="exact" w:val="905"/>
        </w:trPr>
        <w:tc>
          <w:tcPr>
            <w:tcW w:w="504" w:type="dxa"/>
          </w:tcPr>
          <w:p w:rsidR="006F1269" w:rsidRDefault="006F1269" w:rsidP="009A1C0C">
            <w:pPr>
              <w:pStyle w:val="Style33"/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  </w:t>
            </w:r>
          </w:p>
        </w:tc>
        <w:tc>
          <w:tcPr>
            <w:tcW w:w="3485" w:type="dxa"/>
          </w:tcPr>
          <w:p w:rsidR="006F1269" w:rsidRPr="00625468" w:rsidRDefault="006F1269" w:rsidP="009A1C0C">
            <w:pPr>
              <w:pStyle w:val="Style21"/>
              <w:widowControl/>
              <w:spacing w:line="240" w:lineRule="auto"/>
              <w:ind w:left="30" w:right="422" w:hanging="6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Иные бюджетные ассигнования, пр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я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мо не отнесенные ни к одной муниципал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ь</w:t>
            </w:r>
            <w:r w:rsidRPr="00625468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ной услуге</w:t>
            </w:r>
          </w:p>
        </w:tc>
        <w:tc>
          <w:tcPr>
            <w:tcW w:w="1301" w:type="dxa"/>
          </w:tcPr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4C3F43">
              <w:rPr>
                <w:rStyle w:val="FontStyle67"/>
                <w:bCs w:val="0"/>
              </w:rPr>
              <w:t>22</w:t>
            </w:r>
            <w:r>
              <w:rPr>
                <w:rStyle w:val="FontStyle67"/>
                <w:bCs w:val="0"/>
              </w:rPr>
              <w:t>443</w:t>
            </w:r>
            <w:r w:rsidRPr="004C3F43">
              <w:rPr>
                <w:rStyle w:val="FontStyle67"/>
                <w:bCs w:val="0"/>
              </w:rPr>
              <w:t>,7</w:t>
            </w:r>
          </w:p>
        </w:tc>
        <w:tc>
          <w:tcPr>
            <w:tcW w:w="1370" w:type="dxa"/>
          </w:tcPr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4C3F43">
              <w:rPr>
                <w:rStyle w:val="FontStyle67"/>
                <w:bCs w:val="0"/>
              </w:rPr>
              <w:t>6656,9</w:t>
            </w:r>
          </w:p>
        </w:tc>
        <w:tc>
          <w:tcPr>
            <w:tcW w:w="1260" w:type="dxa"/>
          </w:tcPr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Cs w:val="0"/>
              </w:rPr>
            </w:pPr>
            <w:r w:rsidRPr="004C3F43">
              <w:rPr>
                <w:rStyle w:val="FontStyle67"/>
                <w:bCs w:val="0"/>
              </w:rPr>
              <w:t>7904,3</w:t>
            </w:r>
          </w:p>
        </w:tc>
        <w:tc>
          <w:tcPr>
            <w:tcW w:w="1517" w:type="dxa"/>
          </w:tcPr>
          <w:p w:rsidR="006F1269" w:rsidRPr="004C3F43" w:rsidRDefault="006F1269" w:rsidP="009A1C0C">
            <w:pPr>
              <w:pStyle w:val="1"/>
              <w:jc w:val="center"/>
              <w:rPr>
                <w:rStyle w:val="FontStyle67"/>
                <w:b/>
                <w:bCs w:val="0"/>
              </w:rPr>
            </w:pPr>
            <w:r w:rsidRPr="004C3F43"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882</w:t>
            </w:r>
            <w:r w:rsidRPr="004C3F43">
              <w:rPr>
                <w:b w:val="0"/>
                <w:sz w:val="20"/>
              </w:rPr>
              <w:t>,5</w:t>
            </w:r>
          </w:p>
        </w:tc>
      </w:tr>
    </w:tbl>
    <w:p w:rsidR="00801F85" w:rsidRDefault="006F1269">
      <w:r>
        <w:rPr>
          <w:color w:val="000000"/>
        </w:rPr>
        <w:t xml:space="preserve">                                                                                                                                              ».</w:t>
      </w:r>
      <w:bookmarkStart w:id="0" w:name="_GoBack"/>
      <w:bookmarkEnd w:id="0"/>
    </w:p>
    <w:sectPr w:rsidR="0080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D3"/>
    <w:rsid w:val="006F1269"/>
    <w:rsid w:val="00801F85"/>
    <w:rsid w:val="00EB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F1269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2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63">
    <w:name w:val="Font Style63"/>
    <w:basedOn w:val="a0"/>
    <w:rsid w:val="006F1269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7">
    <w:name w:val="Font Style67"/>
    <w:basedOn w:val="a0"/>
    <w:rsid w:val="006F1269"/>
    <w:rPr>
      <w:rFonts w:ascii="Tahoma" w:hAnsi="Tahoma" w:cs="Tahoma"/>
      <w:b/>
      <w:bCs/>
      <w:sz w:val="14"/>
      <w:szCs w:val="14"/>
    </w:rPr>
  </w:style>
  <w:style w:type="character" w:customStyle="1" w:styleId="FontStyle72">
    <w:name w:val="Font Style72"/>
    <w:basedOn w:val="a0"/>
    <w:rsid w:val="006F1269"/>
    <w:rPr>
      <w:rFonts w:ascii="Candara" w:hAnsi="Candara" w:cs="Candara"/>
      <w:b/>
      <w:bCs/>
      <w:sz w:val="18"/>
      <w:szCs w:val="18"/>
    </w:rPr>
  </w:style>
  <w:style w:type="character" w:customStyle="1" w:styleId="FontStyle64">
    <w:name w:val="Font Style64"/>
    <w:basedOn w:val="a0"/>
    <w:rsid w:val="006F1269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6F1269"/>
    <w:pPr>
      <w:widowControl w:val="0"/>
      <w:suppressAutoHyphens w:val="0"/>
      <w:autoSpaceDE w:val="0"/>
      <w:autoSpaceDN w:val="0"/>
      <w:adjustRightInd w:val="0"/>
      <w:spacing w:line="187" w:lineRule="exact"/>
    </w:pPr>
    <w:rPr>
      <w:rFonts w:ascii="Courier New" w:hAnsi="Courier New"/>
      <w:lang w:eastAsia="ru-RU"/>
    </w:rPr>
  </w:style>
  <w:style w:type="paragraph" w:customStyle="1" w:styleId="Style31">
    <w:name w:val="Style31"/>
    <w:basedOn w:val="a"/>
    <w:rsid w:val="006F1269"/>
    <w:pPr>
      <w:widowControl w:val="0"/>
      <w:suppressAutoHyphens w:val="0"/>
      <w:autoSpaceDE w:val="0"/>
      <w:autoSpaceDN w:val="0"/>
      <w:adjustRightInd w:val="0"/>
      <w:spacing w:line="192" w:lineRule="exact"/>
    </w:pPr>
    <w:rPr>
      <w:rFonts w:ascii="Courier New" w:hAnsi="Courier New"/>
      <w:lang w:eastAsia="ru-RU"/>
    </w:rPr>
  </w:style>
  <w:style w:type="paragraph" w:customStyle="1" w:styleId="Style33">
    <w:name w:val="Style33"/>
    <w:basedOn w:val="a"/>
    <w:rsid w:val="006F1269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paragraph" w:customStyle="1" w:styleId="Style1">
    <w:name w:val="Style1"/>
    <w:basedOn w:val="a"/>
    <w:rsid w:val="006F1269"/>
    <w:pPr>
      <w:widowControl w:val="0"/>
      <w:suppressAutoHyphens w:val="0"/>
      <w:autoSpaceDE w:val="0"/>
      <w:autoSpaceDN w:val="0"/>
      <w:adjustRightInd w:val="0"/>
      <w:spacing w:line="269" w:lineRule="exact"/>
      <w:jc w:val="both"/>
    </w:pPr>
    <w:rPr>
      <w:rFonts w:ascii="Courier New" w:hAnsi="Courier New"/>
      <w:lang w:eastAsia="ru-RU"/>
    </w:rPr>
  </w:style>
  <w:style w:type="paragraph" w:customStyle="1" w:styleId="Style11">
    <w:name w:val="Style11"/>
    <w:basedOn w:val="a"/>
    <w:rsid w:val="006F1269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character" w:customStyle="1" w:styleId="FontStyle73">
    <w:name w:val="Font Style73"/>
    <w:basedOn w:val="a0"/>
    <w:rsid w:val="006F1269"/>
    <w:rPr>
      <w:rFonts w:ascii="Cambria" w:hAnsi="Cambria" w:cs="Cambria"/>
      <w:b/>
      <w:bCs/>
      <w:sz w:val="16"/>
      <w:szCs w:val="16"/>
    </w:rPr>
  </w:style>
  <w:style w:type="character" w:customStyle="1" w:styleId="FontStyle74">
    <w:name w:val="Font Style74"/>
    <w:basedOn w:val="a0"/>
    <w:rsid w:val="006F126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1">
    <w:name w:val="Style21"/>
    <w:basedOn w:val="a"/>
    <w:rsid w:val="006F1269"/>
    <w:pPr>
      <w:widowControl w:val="0"/>
      <w:suppressAutoHyphens w:val="0"/>
      <w:autoSpaceDE w:val="0"/>
      <w:autoSpaceDN w:val="0"/>
      <w:adjustRightInd w:val="0"/>
      <w:spacing w:line="192" w:lineRule="exact"/>
      <w:ind w:hanging="499"/>
    </w:pPr>
    <w:rPr>
      <w:rFonts w:ascii="Courier New" w:hAnsi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F1269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2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63">
    <w:name w:val="Font Style63"/>
    <w:basedOn w:val="a0"/>
    <w:rsid w:val="006F1269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7">
    <w:name w:val="Font Style67"/>
    <w:basedOn w:val="a0"/>
    <w:rsid w:val="006F1269"/>
    <w:rPr>
      <w:rFonts w:ascii="Tahoma" w:hAnsi="Tahoma" w:cs="Tahoma"/>
      <w:b/>
      <w:bCs/>
      <w:sz w:val="14"/>
      <w:szCs w:val="14"/>
    </w:rPr>
  </w:style>
  <w:style w:type="character" w:customStyle="1" w:styleId="FontStyle72">
    <w:name w:val="Font Style72"/>
    <w:basedOn w:val="a0"/>
    <w:rsid w:val="006F1269"/>
    <w:rPr>
      <w:rFonts w:ascii="Candara" w:hAnsi="Candara" w:cs="Candara"/>
      <w:b/>
      <w:bCs/>
      <w:sz w:val="18"/>
      <w:szCs w:val="18"/>
    </w:rPr>
  </w:style>
  <w:style w:type="character" w:customStyle="1" w:styleId="FontStyle64">
    <w:name w:val="Font Style64"/>
    <w:basedOn w:val="a0"/>
    <w:rsid w:val="006F1269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6F1269"/>
    <w:pPr>
      <w:widowControl w:val="0"/>
      <w:suppressAutoHyphens w:val="0"/>
      <w:autoSpaceDE w:val="0"/>
      <w:autoSpaceDN w:val="0"/>
      <w:adjustRightInd w:val="0"/>
      <w:spacing w:line="187" w:lineRule="exact"/>
    </w:pPr>
    <w:rPr>
      <w:rFonts w:ascii="Courier New" w:hAnsi="Courier New"/>
      <w:lang w:eastAsia="ru-RU"/>
    </w:rPr>
  </w:style>
  <w:style w:type="paragraph" w:customStyle="1" w:styleId="Style31">
    <w:name w:val="Style31"/>
    <w:basedOn w:val="a"/>
    <w:rsid w:val="006F1269"/>
    <w:pPr>
      <w:widowControl w:val="0"/>
      <w:suppressAutoHyphens w:val="0"/>
      <w:autoSpaceDE w:val="0"/>
      <w:autoSpaceDN w:val="0"/>
      <w:adjustRightInd w:val="0"/>
      <w:spacing w:line="192" w:lineRule="exact"/>
    </w:pPr>
    <w:rPr>
      <w:rFonts w:ascii="Courier New" w:hAnsi="Courier New"/>
      <w:lang w:eastAsia="ru-RU"/>
    </w:rPr>
  </w:style>
  <w:style w:type="paragraph" w:customStyle="1" w:styleId="Style33">
    <w:name w:val="Style33"/>
    <w:basedOn w:val="a"/>
    <w:rsid w:val="006F1269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paragraph" w:customStyle="1" w:styleId="Style1">
    <w:name w:val="Style1"/>
    <w:basedOn w:val="a"/>
    <w:rsid w:val="006F1269"/>
    <w:pPr>
      <w:widowControl w:val="0"/>
      <w:suppressAutoHyphens w:val="0"/>
      <w:autoSpaceDE w:val="0"/>
      <w:autoSpaceDN w:val="0"/>
      <w:adjustRightInd w:val="0"/>
      <w:spacing w:line="269" w:lineRule="exact"/>
      <w:jc w:val="both"/>
    </w:pPr>
    <w:rPr>
      <w:rFonts w:ascii="Courier New" w:hAnsi="Courier New"/>
      <w:lang w:eastAsia="ru-RU"/>
    </w:rPr>
  </w:style>
  <w:style w:type="paragraph" w:customStyle="1" w:styleId="Style11">
    <w:name w:val="Style11"/>
    <w:basedOn w:val="a"/>
    <w:rsid w:val="006F1269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character" w:customStyle="1" w:styleId="FontStyle73">
    <w:name w:val="Font Style73"/>
    <w:basedOn w:val="a0"/>
    <w:rsid w:val="006F1269"/>
    <w:rPr>
      <w:rFonts w:ascii="Cambria" w:hAnsi="Cambria" w:cs="Cambria"/>
      <w:b/>
      <w:bCs/>
      <w:sz w:val="16"/>
      <w:szCs w:val="16"/>
    </w:rPr>
  </w:style>
  <w:style w:type="character" w:customStyle="1" w:styleId="FontStyle74">
    <w:name w:val="Font Style74"/>
    <w:basedOn w:val="a0"/>
    <w:rsid w:val="006F126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1">
    <w:name w:val="Style21"/>
    <w:basedOn w:val="a"/>
    <w:rsid w:val="006F1269"/>
    <w:pPr>
      <w:widowControl w:val="0"/>
      <w:suppressAutoHyphens w:val="0"/>
      <w:autoSpaceDE w:val="0"/>
      <w:autoSpaceDN w:val="0"/>
      <w:adjustRightInd w:val="0"/>
      <w:spacing w:line="192" w:lineRule="exact"/>
      <w:ind w:hanging="499"/>
    </w:pPr>
    <w:rPr>
      <w:rFonts w:ascii="Courier New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>Администрация города Иванова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2012-06-08T09:43:00Z</dcterms:created>
  <dcterms:modified xsi:type="dcterms:W3CDTF">2012-06-08T09:43:00Z</dcterms:modified>
</cp:coreProperties>
</file>