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8C" w:rsidRDefault="004A7F2C" w:rsidP="00AF458C">
      <w:pPr>
        <w:widowControl w:val="0"/>
        <w:autoSpaceDE w:val="0"/>
        <w:autoSpaceDN w:val="0"/>
        <w:adjustRightInd w:val="0"/>
        <w:spacing w:after="0"/>
        <w:ind w:left="5664"/>
        <w:jc w:val="left"/>
      </w:pPr>
      <w:r>
        <w:t xml:space="preserve">Приложение </w:t>
      </w:r>
      <w:r w:rsidR="003D351B">
        <w:t xml:space="preserve">№ 1 </w:t>
      </w:r>
    </w:p>
    <w:p w:rsidR="004A7F2C" w:rsidRDefault="003D351B" w:rsidP="00AF458C">
      <w:pPr>
        <w:widowControl w:val="0"/>
        <w:autoSpaceDE w:val="0"/>
        <w:autoSpaceDN w:val="0"/>
        <w:adjustRightInd w:val="0"/>
        <w:spacing w:after="0"/>
        <w:ind w:left="5664"/>
        <w:jc w:val="left"/>
      </w:pPr>
      <w:r>
        <w:t>к</w:t>
      </w:r>
      <w:r w:rsidR="009B73E0">
        <w:t xml:space="preserve"> </w:t>
      </w:r>
      <w:r w:rsidR="004A7F2C">
        <w:t xml:space="preserve">постановлению </w:t>
      </w:r>
    </w:p>
    <w:p w:rsidR="004A7F2C" w:rsidRDefault="004A7F2C" w:rsidP="00AF458C">
      <w:pPr>
        <w:widowControl w:val="0"/>
        <w:autoSpaceDE w:val="0"/>
        <w:autoSpaceDN w:val="0"/>
        <w:adjustRightInd w:val="0"/>
        <w:spacing w:after="0"/>
        <w:ind w:left="5664"/>
        <w:jc w:val="left"/>
      </w:pPr>
      <w:r>
        <w:t>Администрации города Иванова</w:t>
      </w:r>
    </w:p>
    <w:p w:rsidR="004A7F2C" w:rsidRDefault="004A7F2C" w:rsidP="00AF458C">
      <w:pPr>
        <w:widowControl w:val="0"/>
        <w:autoSpaceDE w:val="0"/>
        <w:autoSpaceDN w:val="0"/>
        <w:adjustRightInd w:val="0"/>
        <w:spacing w:after="0"/>
        <w:ind w:left="5664"/>
        <w:jc w:val="left"/>
      </w:pPr>
      <w:r>
        <w:t>от_</w:t>
      </w:r>
      <w:r w:rsidR="0012740A" w:rsidRPr="0012740A">
        <w:rPr>
          <w:u w:val="single"/>
        </w:rPr>
        <w:t>05.05.2014</w:t>
      </w:r>
      <w:r>
        <w:t>_ № __</w:t>
      </w:r>
      <w:r w:rsidR="0012740A" w:rsidRPr="0012740A">
        <w:rPr>
          <w:u w:val="single"/>
        </w:rPr>
        <w:t>932</w:t>
      </w:r>
      <w:r>
        <w:t>_</w:t>
      </w:r>
    </w:p>
    <w:p w:rsidR="004A7F2C" w:rsidRDefault="004A7F2C" w:rsidP="00AF458C">
      <w:pPr>
        <w:widowControl w:val="0"/>
        <w:autoSpaceDE w:val="0"/>
        <w:autoSpaceDN w:val="0"/>
        <w:adjustRightInd w:val="0"/>
        <w:spacing w:after="0"/>
        <w:ind w:left="5664"/>
        <w:jc w:val="left"/>
      </w:pPr>
    </w:p>
    <w:p w:rsidR="004A7F2C" w:rsidRDefault="004A7F2C" w:rsidP="00213DBA">
      <w:pPr>
        <w:widowControl w:val="0"/>
        <w:autoSpaceDE w:val="0"/>
        <w:autoSpaceDN w:val="0"/>
        <w:adjustRightInd w:val="0"/>
        <w:spacing w:after="0"/>
        <w:jc w:val="left"/>
      </w:pPr>
    </w:p>
    <w:p w:rsidR="00213DBA" w:rsidRDefault="00213DBA" w:rsidP="00213DBA">
      <w:pPr>
        <w:pStyle w:val="3"/>
        <w:spacing w:after="0"/>
      </w:pPr>
      <w:r>
        <w:t>«</w:t>
      </w:r>
      <w:r w:rsidR="004A7F2C" w:rsidRPr="00A23654">
        <w:t xml:space="preserve">Специальная подпрограмма «Повышение уровня защищенности </w:t>
      </w:r>
    </w:p>
    <w:p w:rsidR="004A7F2C" w:rsidRDefault="004A7F2C" w:rsidP="00213DBA">
      <w:pPr>
        <w:pStyle w:val="3"/>
        <w:spacing w:after="0"/>
      </w:pPr>
      <w:r w:rsidRPr="00A23654">
        <w:t>населения города Иванова от преступных проявлений»</w:t>
      </w:r>
    </w:p>
    <w:p w:rsidR="00213DBA" w:rsidRDefault="00213DBA" w:rsidP="00213DBA">
      <w:pPr>
        <w:pStyle w:val="Pro-Gramma"/>
        <w:spacing w:before="0" w:after="0" w:line="240" w:lineRule="auto"/>
        <w:jc w:val="center"/>
        <w:rPr>
          <w:rFonts w:ascii="Times New Roman" w:hAnsi="Times New Roman"/>
          <w:sz w:val="24"/>
        </w:rPr>
      </w:pPr>
    </w:p>
    <w:p w:rsidR="004A7F2C" w:rsidRDefault="004A7F2C" w:rsidP="00213DBA">
      <w:pPr>
        <w:pStyle w:val="Pro-Gramma"/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6F3845">
        <w:rPr>
          <w:rFonts w:ascii="Times New Roman" w:hAnsi="Times New Roman"/>
          <w:sz w:val="24"/>
        </w:rPr>
        <w:t>Срок реализации подпрограммы: 2014 год.</w:t>
      </w:r>
    </w:p>
    <w:p w:rsidR="00AF7DA9" w:rsidRPr="006F3845" w:rsidRDefault="00AF7DA9" w:rsidP="00213DBA">
      <w:pPr>
        <w:pStyle w:val="Pro-Gramma"/>
        <w:spacing w:before="0" w:after="0" w:line="240" w:lineRule="auto"/>
        <w:jc w:val="center"/>
        <w:rPr>
          <w:rFonts w:ascii="Times New Roman" w:hAnsi="Times New Roman"/>
          <w:sz w:val="24"/>
        </w:rPr>
      </w:pPr>
    </w:p>
    <w:p w:rsidR="004A7F2C" w:rsidRDefault="004A7F2C" w:rsidP="00213DBA">
      <w:pPr>
        <w:pStyle w:val="4"/>
        <w:numPr>
          <w:ilvl w:val="0"/>
          <w:numId w:val="8"/>
        </w:numPr>
        <w:spacing w:after="0"/>
      </w:pP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4A7F2C" w:rsidRDefault="004A7F2C" w:rsidP="00213DBA">
      <w:pPr>
        <w:pStyle w:val="Pro-Gramma"/>
        <w:spacing w:before="0" w:after="0" w:line="240" w:lineRule="auto"/>
      </w:pPr>
    </w:p>
    <w:p w:rsidR="004A7F2C" w:rsidRPr="001F0BA9" w:rsidRDefault="004A7F2C" w:rsidP="007664A2">
      <w:pPr>
        <w:pStyle w:val="Pro-Gramma"/>
        <w:spacing w:before="0" w:after="0" w:line="240" w:lineRule="auto"/>
        <w:ind w:left="-142" w:firstLine="1276"/>
        <w:rPr>
          <w:rFonts w:ascii="Times New Roman" w:hAnsi="Times New Roman"/>
          <w:sz w:val="24"/>
        </w:rPr>
      </w:pPr>
      <w:r w:rsidRPr="001F0BA9">
        <w:rPr>
          <w:rFonts w:ascii="Times New Roman" w:hAnsi="Times New Roman"/>
          <w:sz w:val="24"/>
        </w:rPr>
        <w:t>Реализация подпрограммы позволит повысить уровень материально-технической оснащенности органов внутренних дел города Иванова, что будет способствовать снижению уровня преступности в городе Иванове.</w:t>
      </w:r>
    </w:p>
    <w:p w:rsidR="004A7F2C" w:rsidRPr="001F0BA9" w:rsidRDefault="004A7F2C" w:rsidP="007664A2">
      <w:pPr>
        <w:pStyle w:val="Pro-Gramma"/>
        <w:spacing w:before="0" w:after="0" w:line="240" w:lineRule="auto"/>
        <w:ind w:left="-142" w:firstLine="1276"/>
        <w:rPr>
          <w:rFonts w:ascii="Times New Roman" w:hAnsi="Times New Roman"/>
          <w:sz w:val="24"/>
        </w:rPr>
      </w:pPr>
      <w:r w:rsidRPr="001F0BA9">
        <w:rPr>
          <w:rFonts w:ascii="Times New Roman" w:hAnsi="Times New Roman"/>
          <w:sz w:val="24"/>
        </w:rPr>
        <w:t xml:space="preserve">Повысится оперативность реагирования на поступающие вызовы о происшествиях, сократится время прибытия нарядов полиции на место происшествия. Возрастет уровень антитеррористической защищенности населения города при проведении массовых мероприятий. Будет обеспечена стабильная работа аппаратно-программного комплекса </w:t>
      </w:r>
      <w:proofErr w:type="spellStart"/>
      <w:r w:rsidRPr="001F0BA9">
        <w:rPr>
          <w:rFonts w:ascii="Times New Roman" w:hAnsi="Times New Roman"/>
          <w:sz w:val="24"/>
        </w:rPr>
        <w:t>видеофиксации</w:t>
      </w:r>
      <w:proofErr w:type="spellEnd"/>
      <w:r w:rsidRPr="001F0BA9">
        <w:rPr>
          <w:rFonts w:ascii="Times New Roman" w:hAnsi="Times New Roman"/>
          <w:sz w:val="24"/>
        </w:rPr>
        <w:t xml:space="preserve"> АПК «Безопасный город» (далее – АПК «Безопасный город»).</w:t>
      </w:r>
    </w:p>
    <w:p w:rsidR="004A7F2C" w:rsidRDefault="004A7F2C" w:rsidP="007664A2">
      <w:pPr>
        <w:pStyle w:val="Pro-TabName"/>
        <w:spacing w:after="0"/>
        <w:ind w:left="-142" w:firstLine="1276"/>
      </w:pPr>
    </w:p>
    <w:p w:rsidR="004A7F2C" w:rsidRDefault="004A7F2C" w:rsidP="007664A2">
      <w:pPr>
        <w:pStyle w:val="Pro-TabName"/>
        <w:spacing w:after="0"/>
        <w:rPr>
          <w:sz w:val="24"/>
          <w:szCs w:val="24"/>
        </w:rPr>
      </w:pPr>
      <w:r w:rsidRPr="001F0BA9">
        <w:rPr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213DBA" w:rsidRPr="001F0BA9" w:rsidRDefault="00213DBA" w:rsidP="007664A2">
      <w:pPr>
        <w:pStyle w:val="Pro-TabName"/>
        <w:spacing w:after="0"/>
        <w:rPr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51"/>
        <w:gridCol w:w="3526"/>
        <w:gridCol w:w="1417"/>
        <w:gridCol w:w="1418"/>
        <w:gridCol w:w="1417"/>
        <w:gridCol w:w="1418"/>
      </w:tblGrid>
      <w:tr w:rsidR="004A7F2C" w:rsidRPr="00213DBA" w:rsidTr="000913C9">
        <w:tc>
          <w:tcPr>
            <w:tcW w:w="551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N</w:t>
            </w:r>
            <w:r w:rsidRPr="00213DBA">
              <w:rPr>
                <w:sz w:val="20"/>
                <w:szCs w:val="20"/>
              </w:rPr>
              <w:br/>
            </w:r>
            <w:proofErr w:type="gramStart"/>
            <w:r w:rsidRPr="00213DBA">
              <w:rPr>
                <w:sz w:val="20"/>
                <w:szCs w:val="20"/>
              </w:rPr>
              <w:t>п</w:t>
            </w:r>
            <w:proofErr w:type="gramEnd"/>
            <w:r w:rsidRPr="00213DBA">
              <w:rPr>
                <w:sz w:val="20"/>
                <w:szCs w:val="20"/>
              </w:rPr>
              <w:t>/п</w:t>
            </w:r>
          </w:p>
        </w:tc>
        <w:tc>
          <w:tcPr>
            <w:tcW w:w="3526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417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Ед. изм.</w:t>
            </w:r>
          </w:p>
        </w:tc>
        <w:tc>
          <w:tcPr>
            <w:tcW w:w="1418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2013</w:t>
            </w:r>
          </w:p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оценка</w:t>
            </w:r>
          </w:p>
        </w:tc>
        <w:tc>
          <w:tcPr>
            <w:tcW w:w="1418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2014</w:t>
            </w:r>
          </w:p>
        </w:tc>
      </w:tr>
      <w:tr w:rsidR="004A7F2C" w:rsidRPr="00213DBA" w:rsidTr="000913C9">
        <w:tc>
          <w:tcPr>
            <w:tcW w:w="551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1</w:t>
            </w:r>
          </w:p>
        </w:tc>
        <w:tc>
          <w:tcPr>
            <w:tcW w:w="3526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Удельный вес преступлений, совершаемых в общественных местах</w:t>
            </w:r>
          </w:p>
        </w:tc>
        <w:tc>
          <w:tcPr>
            <w:tcW w:w="1417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44,3</w:t>
            </w:r>
          </w:p>
        </w:tc>
        <w:tc>
          <w:tcPr>
            <w:tcW w:w="1417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41,8</w:t>
            </w:r>
          </w:p>
        </w:tc>
        <w:tc>
          <w:tcPr>
            <w:tcW w:w="1418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42,4</w:t>
            </w:r>
          </w:p>
        </w:tc>
      </w:tr>
    </w:tbl>
    <w:p w:rsidR="004A7F2C" w:rsidRDefault="004A7F2C" w:rsidP="007664A2">
      <w:pPr>
        <w:pStyle w:val="Pro-Gramma"/>
        <w:spacing w:before="0" w:after="0" w:line="240" w:lineRule="auto"/>
        <w:ind w:left="0" w:firstLine="1134"/>
      </w:pPr>
      <w:r w:rsidRPr="001F0BA9">
        <w:rPr>
          <w:rFonts w:ascii="Times New Roman" w:hAnsi="Times New Roman"/>
          <w:sz w:val="24"/>
        </w:rPr>
        <w:t>Достижение ожидаемых результатов реализации подпрограммы не сопряжено с существенными экономическими, организационными</w:t>
      </w:r>
      <w:r w:rsidRPr="000764C0">
        <w:t xml:space="preserve"> и иными рисками.</w:t>
      </w:r>
    </w:p>
    <w:p w:rsidR="00553749" w:rsidRDefault="00553749" w:rsidP="007664A2">
      <w:pPr>
        <w:pStyle w:val="4"/>
        <w:spacing w:after="0"/>
      </w:pPr>
    </w:p>
    <w:p w:rsidR="004A7F2C" w:rsidRPr="00481C83" w:rsidRDefault="004A7F2C" w:rsidP="007664A2">
      <w:pPr>
        <w:pStyle w:val="4"/>
        <w:spacing w:after="0"/>
      </w:pPr>
      <w:r w:rsidRPr="00481C83">
        <w:t>2. Мероприятия подпрограммы</w:t>
      </w:r>
    </w:p>
    <w:p w:rsidR="004A7F2C" w:rsidRPr="00481C83" w:rsidRDefault="004A7F2C" w:rsidP="007664A2">
      <w:pPr>
        <w:pStyle w:val="Pro-Gramma"/>
        <w:spacing w:before="0" w:after="0" w:line="240" w:lineRule="auto"/>
      </w:pPr>
    </w:p>
    <w:p w:rsidR="004A7F2C" w:rsidRPr="004A089D" w:rsidRDefault="004A7F2C" w:rsidP="007664A2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  <w:r w:rsidRPr="004A089D"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213DBA" w:rsidRDefault="00213DBA" w:rsidP="007664A2">
      <w:pPr>
        <w:pStyle w:val="Pro-List1"/>
        <w:spacing w:after="0"/>
        <w:ind w:left="709" w:firstLine="707"/>
      </w:pPr>
    </w:p>
    <w:p w:rsidR="004A7F2C" w:rsidRPr="00481C83" w:rsidRDefault="004A7F2C" w:rsidP="00213DBA">
      <w:pPr>
        <w:pStyle w:val="Pro-List1"/>
        <w:numPr>
          <w:ilvl w:val="0"/>
          <w:numId w:val="9"/>
        </w:numPr>
        <w:spacing w:after="0"/>
      </w:pPr>
      <w:r w:rsidRPr="00481C83">
        <w:t>Оплата услуг по содержанию АПК «Безопасный город».</w:t>
      </w:r>
    </w:p>
    <w:p w:rsidR="00213DBA" w:rsidRDefault="00213DBA" w:rsidP="007664A2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</w:p>
    <w:p w:rsidR="004A7F2C" w:rsidRPr="004A089D" w:rsidRDefault="004A7F2C" w:rsidP="007664A2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  <w:r w:rsidRPr="004A089D">
        <w:rPr>
          <w:rFonts w:ascii="Times New Roman" w:hAnsi="Times New Roman"/>
          <w:sz w:val="24"/>
        </w:rPr>
        <w:t>Мероприятие предполагает осуществление работ по обслуживанию и ремонту аппаратно-программного комплекса «Безопасный город» (система видеокамер с функцией определения номера) до его передачи из муниципальной собственности города Иванова в собственность Ивановской области. Дата передачи аппаратного комплекса в собственность Ивановской области будет определена Правительством Ивановской области.</w:t>
      </w:r>
    </w:p>
    <w:p w:rsidR="004A7F2C" w:rsidRPr="004A089D" w:rsidRDefault="004A7F2C" w:rsidP="007664A2">
      <w:pPr>
        <w:pStyle w:val="Pro-Gramma"/>
        <w:spacing w:before="0" w:after="0" w:line="240" w:lineRule="auto"/>
        <w:rPr>
          <w:rFonts w:ascii="Times New Roman" w:hAnsi="Times New Roman"/>
          <w:sz w:val="24"/>
        </w:rPr>
      </w:pPr>
      <w:r w:rsidRPr="004A089D">
        <w:rPr>
          <w:rFonts w:ascii="Times New Roman" w:hAnsi="Times New Roman"/>
          <w:sz w:val="24"/>
        </w:rPr>
        <w:t>Срок выполнения мероприятия – 2014 год.</w:t>
      </w:r>
    </w:p>
    <w:p w:rsidR="001F0BA9" w:rsidRDefault="001F0BA9" w:rsidP="007664A2">
      <w:pPr>
        <w:pStyle w:val="Pro-Gramma"/>
        <w:spacing w:before="0" w:after="0" w:line="240" w:lineRule="auto"/>
        <w:ind w:left="0" w:firstLine="540"/>
        <w:rPr>
          <w:rFonts w:ascii="Times New Roman" w:hAnsi="Times New Roman"/>
          <w:sz w:val="24"/>
        </w:rPr>
      </w:pPr>
    </w:p>
    <w:p w:rsidR="004A7F2C" w:rsidRDefault="001E199A" w:rsidP="00213DBA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4A7F2C" w:rsidRPr="001E199A">
        <w:rPr>
          <w:rFonts w:ascii="Times New Roman" w:hAnsi="Times New Roman"/>
          <w:sz w:val="24"/>
        </w:rPr>
        <w:t xml:space="preserve">Создание </w:t>
      </w:r>
      <w:r w:rsidRPr="001E199A">
        <w:rPr>
          <w:rFonts w:ascii="Times New Roman" w:hAnsi="Times New Roman"/>
          <w:sz w:val="24"/>
        </w:rPr>
        <w:t>необходимых условий для деятельности сотрудников органов внутренних дел</w:t>
      </w:r>
      <w:r w:rsidR="004A089D">
        <w:rPr>
          <w:rFonts w:ascii="Times New Roman" w:hAnsi="Times New Roman"/>
          <w:sz w:val="24"/>
        </w:rPr>
        <w:t>.</w:t>
      </w:r>
    </w:p>
    <w:p w:rsidR="00213DBA" w:rsidRPr="001E199A" w:rsidRDefault="00213DBA" w:rsidP="00213DBA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</w:p>
    <w:p w:rsidR="004A7F2C" w:rsidRPr="00481C83" w:rsidRDefault="004A7F2C" w:rsidP="007664A2">
      <w:pPr>
        <w:widowControl w:val="0"/>
        <w:autoSpaceDE w:val="0"/>
        <w:autoSpaceDN w:val="0"/>
        <w:adjustRightInd w:val="0"/>
        <w:spacing w:after="0"/>
        <w:ind w:firstLine="540"/>
      </w:pPr>
      <w:r w:rsidRPr="00481C83">
        <w:t>Мероприятие предполагает приобретение 13 автоматизированных рабочих мест (ПЭВМ, монитор, принтер, клавиатура, мышь)</w:t>
      </w:r>
      <w:r w:rsidR="004A089D">
        <w:t xml:space="preserve">, приобретение 30 смартфонов для участковых уполномоченных полиции для установки на них баз данных УМВД России по </w:t>
      </w:r>
      <w:r w:rsidR="0048051D">
        <w:t>И</w:t>
      </w:r>
      <w:r w:rsidR="004A089D">
        <w:t>вановской области, обслуживание закрытых каналов связи для передачи пакетов данных для смартфонов, установ</w:t>
      </w:r>
      <w:r w:rsidR="0048051D">
        <w:t>ку</w:t>
      </w:r>
      <w:r w:rsidR="004A089D">
        <w:t xml:space="preserve"> системы контроля доступа, приобретение рейки «Кондор-3М» </w:t>
      </w:r>
      <w:r w:rsidR="004A089D">
        <w:lastRenderedPageBreak/>
        <w:t xml:space="preserve">(для измерения геометрических параметров улично-дорожной сети областного центра), приобретение двух арочных </w:t>
      </w:r>
      <w:proofErr w:type="spellStart"/>
      <w:r w:rsidR="004A089D">
        <w:t>металлодетекторов</w:t>
      </w:r>
      <w:proofErr w:type="spellEnd"/>
      <w:r w:rsidRPr="00481C83">
        <w:t xml:space="preserve"> для подразделений Управления МВД России по городу Иваново, что значительно повлияет на рост расследованных преступлений и административных правонарушений</w:t>
      </w:r>
      <w:r w:rsidR="00C06C03">
        <w:t>,</w:t>
      </w:r>
      <w:r w:rsidRPr="00481C83">
        <w:t xml:space="preserve"> т.к. значительно уменьшит время на оформление процессуальных документов и административных дел. </w:t>
      </w:r>
    </w:p>
    <w:p w:rsidR="00213DBA" w:rsidRDefault="00213DBA" w:rsidP="007664A2">
      <w:pPr>
        <w:pStyle w:val="Pro-Gramma"/>
        <w:spacing w:before="0" w:after="0" w:line="240" w:lineRule="auto"/>
        <w:ind w:left="0" w:firstLine="540"/>
        <w:rPr>
          <w:rFonts w:ascii="Times New Roman" w:hAnsi="Times New Roman"/>
          <w:sz w:val="24"/>
        </w:rPr>
      </w:pPr>
    </w:p>
    <w:p w:rsidR="004A7F2C" w:rsidRDefault="004A7F2C" w:rsidP="00213DBA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  <w:r w:rsidRPr="004A089D">
        <w:rPr>
          <w:rFonts w:ascii="Times New Roman" w:hAnsi="Times New Roman"/>
          <w:sz w:val="24"/>
        </w:rPr>
        <w:t>Срок выполнения мероприятия – 2014 год.</w:t>
      </w:r>
    </w:p>
    <w:p w:rsidR="00213DBA" w:rsidRPr="004A089D" w:rsidRDefault="00213DBA" w:rsidP="00213DBA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</w:p>
    <w:p w:rsidR="004A7F2C" w:rsidRPr="00481C83" w:rsidRDefault="004A7F2C" w:rsidP="007664A2">
      <w:pPr>
        <w:pStyle w:val="Pro-List1"/>
        <w:spacing w:after="0"/>
      </w:pPr>
      <w:r w:rsidRPr="00481C83">
        <w:t>3. Приобретение автотранспорта.</w:t>
      </w:r>
    </w:p>
    <w:p w:rsidR="001F0BA9" w:rsidRDefault="001F0BA9" w:rsidP="007664A2">
      <w:pPr>
        <w:widowControl w:val="0"/>
        <w:autoSpaceDE w:val="0"/>
        <w:autoSpaceDN w:val="0"/>
        <w:adjustRightInd w:val="0"/>
        <w:spacing w:after="0"/>
        <w:ind w:firstLine="540"/>
      </w:pPr>
    </w:p>
    <w:p w:rsidR="004A7F2C" w:rsidRPr="00481C83" w:rsidRDefault="004A7F2C" w:rsidP="00213DBA">
      <w:pPr>
        <w:widowControl w:val="0"/>
        <w:autoSpaceDE w:val="0"/>
        <w:autoSpaceDN w:val="0"/>
        <w:adjustRightInd w:val="0"/>
        <w:spacing w:after="0"/>
        <w:ind w:firstLine="708"/>
      </w:pPr>
      <w:r w:rsidRPr="00481C83">
        <w:t>Мероприятие предполагает приобретение 4 автомобилей Лада-Гранта 21906-40-710 для подразделений Управления МВД России по городу Иваново. Это позволит  повысить мобильность сотрудников полиции при поступлении сообщений о происшествиях, снижение времени прибытия нарядов полиции.</w:t>
      </w:r>
    </w:p>
    <w:p w:rsidR="00213DBA" w:rsidRDefault="00213DBA" w:rsidP="00213DBA">
      <w:pPr>
        <w:pStyle w:val="Pro-Gramma"/>
        <w:spacing w:before="0" w:after="0" w:line="240" w:lineRule="auto"/>
        <w:ind w:left="0" w:firstLine="540"/>
        <w:rPr>
          <w:rFonts w:ascii="Times New Roman" w:hAnsi="Times New Roman"/>
          <w:sz w:val="24"/>
        </w:rPr>
      </w:pPr>
    </w:p>
    <w:p w:rsidR="004A7F2C" w:rsidRPr="001F0BA9" w:rsidRDefault="004A7F2C" w:rsidP="00213DBA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  <w:r w:rsidRPr="001F0BA9">
        <w:rPr>
          <w:rFonts w:ascii="Times New Roman" w:hAnsi="Times New Roman"/>
          <w:sz w:val="24"/>
        </w:rPr>
        <w:t>Срок выполнения мероприятия – 2014 год.</w:t>
      </w:r>
    </w:p>
    <w:p w:rsidR="004A7F2C" w:rsidRPr="001F0BA9" w:rsidRDefault="004A7F2C" w:rsidP="007664A2">
      <w:pPr>
        <w:pStyle w:val="Pro-Gramma"/>
        <w:spacing w:before="0" w:after="0" w:line="240" w:lineRule="auto"/>
        <w:rPr>
          <w:rFonts w:ascii="Times New Roman" w:hAnsi="Times New Roman"/>
          <w:sz w:val="24"/>
        </w:rPr>
      </w:pPr>
    </w:p>
    <w:p w:rsidR="004A7F2C" w:rsidRDefault="004A7F2C" w:rsidP="007664A2">
      <w:pPr>
        <w:pStyle w:val="Pro-List1"/>
        <w:spacing w:after="0"/>
      </w:pPr>
      <w:r w:rsidRPr="00481C83">
        <w:t>4. Модернизация и развитие системы видеонаблюдения АПК «Безопасный город» в общественных местах.</w:t>
      </w:r>
    </w:p>
    <w:p w:rsidR="00213DBA" w:rsidRPr="00481C83" w:rsidRDefault="00213DBA" w:rsidP="007664A2">
      <w:pPr>
        <w:pStyle w:val="Pro-List1"/>
        <w:spacing w:after="0"/>
      </w:pPr>
    </w:p>
    <w:p w:rsidR="004A7F2C" w:rsidRPr="004A089D" w:rsidRDefault="004A7F2C" w:rsidP="007664A2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  <w:r w:rsidRPr="004A089D">
        <w:rPr>
          <w:rFonts w:ascii="Times New Roman" w:hAnsi="Times New Roman"/>
          <w:sz w:val="24"/>
        </w:rPr>
        <w:t>Мероприятие предполагает установку (замену)</w:t>
      </w:r>
      <w:r w:rsidR="004A089D">
        <w:rPr>
          <w:rFonts w:ascii="Times New Roman" w:hAnsi="Times New Roman"/>
          <w:sz w:val="24"/>
        </w:rPr>
        <w:t>, модернизацию</w:t>
      </w:r>
      <w:r w:rsidRPr="004A089D">
        <w:rPr>
          <w:rFonts w:ascii="Times New Roman" w:hAnsi="Times New Roman"/>
          <w:sz w:val="24"/>
        </w:rPr>
        <w:t xml:space="preserve"> в местах массового пребывания людей видеокамер с высоким разрешением и четкостью изображения</w:t>
      </w:r>
      <w:r w:rsidR="004A089D">
        <w:rPr>
          <w:rFonts w:ascii="Times New Roman" w:hAnsi="Times New Roman"/>
          <w:sz w:val="24"/>
        </w:rPr>
        <w:t>, замену видеосерверов</w:t>
      </w:r>
      <w:r w:rsidRPr="004A089D">
        <w:rPr>
          <w:rFonts w:ascii="Times New Roman" w:hAnsi="Times New Roman"/>
          <w:sz w:val="24"/>
        </w:rPr>
        <w:t xml:space="preserve"> с целью осуществления контроля и оперативного реагирования на изменения оперативной обстановки, использования видеозаписи при расследовании преступлений и в качестве доказательной базы в суде. Старые видеокамеры будут использованы в местах меньшей концентрации граждан. </w:t>
      </w:r>
    </w:p>
    <w:p w:rsidR="00213DBA" w:rsidRDefault="00213DBA" w:rsidP="00213DBA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</w:p>
    <w:p w:rsidR="004A7F2C" w:rsidRPr="004A089D" w:rsidRDefault="004A7F2C" w:rsidP="00213DBA">
      <w:pPr>
        <w:pStyle w:val="Pro-Gramma"/>
        <w:spacing w:before="0" w:after="0" w:line="240" w:lineRule="auto"/>
        <w:ind w:left="0" w:firstLine="708"/>
        <w:rPr>
          <w:rFonts w:ascii="Times New Roman" w:hAnsi="Times New Roman"/>
          <w:sz w:val="24"/>
        </w:rPr>
      </w:pPr>
      <w:r w:rsidRPr="004A089D">
        <w:rPr>
          <w:rFonts w:ascii="Times New Roman" w:hAnsi="Times New Roman"/>
          <w:sz w:val="24"/>
        </w:rPr>
        <w:t>Срок выполнения мероприятия – 2014 год.</w:t>
      </w:r>
    </w:p>
    <w:p w:rsidR="004A7F2C" w:rsidRPr="004A089D" w:rsidRDefault="004A7F2C" w:rsidP="007664A2">
      <w:pPr>
        <w:pStyle w:val="Pro-Gramma"/>
        <w:spacing w:before="0" w:after="0" w:line="240" w:lineRule="auto"/>
        <w:rPr>
          <w:rFonts w:ascii="Times New Roman" w:hAnsi="Times New Roman"/>
          <w:sz w:val="24"/>
        </w:rPr>
      </w:pPr>
    </w:p>
    <w:p w:rsidR="004A7F2C" w:rsidRPr="004A089D" w:rsidRDefault="004A7F2C" w:rsidP="007664A2">
      <w:pPr>
        <w:pStyle w:val="Pro-TabName"/>
        <w:tabs>
          <w:tab w:val="left" w:pos="8647"/>
        </w:tabs>
        <w:spacing w:after="0"/>
        <w:rPr>
          <w:sz w:val="24"/>
          <w:szCs w:val="24"/>
        </w:rPr>
      </w:pPr>
      <w:r w:rsidRPr="004A089D">
        <w:rPr>
          <w:sz w:val="24"/>
          <w:szCs w:val="24"/>
        </w:rPr>
        <w:t>Таблица 2. Бюджетные ассигнования на выполнение мероприятий подпрограммы        (тыс. руб.)</w:t>
      </w:r>
    </w:p>
    <w:tbl>
      <w:tblPr>
        <w:tblStyle w:val="a3"/>
        <w:tblW w:w="9747" w:type="dxa"/>
        <w:tblLayout w:type="fixed"/>
        <w:tblLook w:val="00A0" w:firstRow="1" w:lastRow="0" w:firstColumn="1" w:lastColumn="0" w:noHBand="0" w:noVBand="0"/>
      </w:tblPr>
      <w:tblGrid>
        <w:gridCol w:w="594"/>
        <w:gridCol w:w="4759"/>
        <w:gridCol w:w="2410"/>
        <w:gridCol w:w="1984"/>
      </w:tblGrid>
      <w:tr w:rsidR="004A7F2C" w:rsidRPr="00213DBA" w:rsidTr="000913C9">
        <w:tc>
          <w:tcPr>
            <w:tcW w:w="594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N</w:t>
            </w:r>
            <w:r w:rsidRPr="00213DBA">
              <w:rPr>
                <w:sz w:val="20"/>
                <w:szCs w:val="20"/>
              </w:rPr>
              <w:br/>
            </w:r>
            <w:proofErr w:type="gramStart"/>
            <w:r w:rsidRPr="00213DBA">
              <w:rPr>
                <w:sz w:val="20"/>
                <w:szCs w:val="20"/>
              </w:rPr>
              <w:t>п</w:t>
            </w:r>
            <w:proofErr w:type="gramEnd"/>
            <w:r w:rsidRPr="00213DBA">
              <w:rPr>
                <w:sz w:val="20"/>
                <w:szCs w:val="20"/>
              </w:rPr>
              <w:t>/п</w:t>
            </w:r>
          </w:p>
        </w:tc>
        <w:tc>
          <w:tcPr>
            <w:tcW w:w="4759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Исполнитель</w:t>
            </w:r>
          </w:p>
        </w:tc>
        <w:tc>
          <w:tcPr>
            <w:tcW w:w="1984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2014</w:t>
            </w:r>
          </w:p>
        </w:tc>
      </w:tr>
      <w:tr w:rsidR="004A7F2C" w:rsidRPr="00213DBA" w:rsidTr="000913C9">
        <w:tc>
          <w:tcPr>
            <w:tcW w:w="594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59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2410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F2C" w:rsidRPr="00213DBA" w:rsidRDefault="004A089D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7 000</w:t>
            </w:r>
            <w:r w:rsidR="004A7F2C" w:rsidRPr="00213DBA">
              <w:rPr>
                <w:sz w:val="20"/>
                <w:szCs w:val="20"/>
              </w:rPr>
              <w:t>,0</w:t>
            </w:r>
          </w:p>
        </w:tc>
      </w:tr>
      <w:tr w:rsidR="004A7F2C" w:rsidRPr="00213DBA" w:rsidTr="000913C9">
        <w:tc>
          <w:tcPr>
            <w:tcW w:w="594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59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410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F2C" w:rsidRPr="00213DBA" w:rsidRDefault="00E91694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7 0</w:t>
            </w:r>
            <w:r w:rsidR="004A7F2C" w:rsidRPr="00213DBA">
              <w:rPr>
                <w:sz w:val="20"/>
                <w:szCs w:val="20"/>
              </w:rPr>
              <w:t>00,0</w:t>
            </w:r>
          </w:p>
        </w:tc>
      </w:tr>
      <w:tr w:rsidR="004A7F2C" w:rsidRPr="00213DBA" w:rsidTr="000913C9">
        <w:tc>
          <w:tcPr>
            <w:tcW w:w="594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59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410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-</w:t>
            </w:r>
          </w:p>
        </w:tc>
      </w:tr>
      <w:tr w:rsidR="004A7F2C" w:rsidRPr="00213DBA" w:rsidTr="000913C9">
        <w:tc>
          <w:tcPr>
            <w:tcW w:w="594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1</w:t>
            </w:r>
          </w:p>
        </w:tc>
        <w:tc>
          <w:tcPr>
            <w:tcW w:w="4759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Оплата услуг по содержанию АПК «Безопасный город»</w:t>
            </w:r>
          </w:p>
        </w:tc>
        <w:tc>
          <w:tcPr>
            <w:tcW w:w="2410" w:type="dxa"/>
            <w:vMerge w:val="restart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1984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1 </w:t>
            </w:r>
            <w:r w:rsidR="00E91694" w:rsidRPr="00213DBA">
              <w:rPr>
                <w:sz w:val="20"/>
                <w:szCs w:val="20"/>
              </w:rPr>
              <w:t>8</w:t>
            </w:r>
            <w:r w:rsidRPr="00213DBA">
              <w:rPr>
                <w:sz w:val="20"/>
                <w:szCs w:val="20"/>
              </w:rPr>
              <w:t>00,0</w:t>
            </w:r>
          </w:p>
        </w:tc>
      </w:tr>
      <w:tr w:rsidR="004A7F2C" w:rsidRPr="00213DBA" w:rsidTr="000913C9">
        <w:tc>
          <w:tcPr>
            <w:tcW w:w="594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2</w:t>
            </w:r>
          </w:p>
        </w:tc>
        <w:tc>
          <w:tcPr>
            <w:tcW w:w="4759" w:type="dxa"/>
          </w:tcPr>
          <w:p w:rsidR="004A7F2C" w:rsidRPr="00213DBA" w:rsidRDefault="00CD35E3" w:rsidP="00213DBA">
            <w:pPr>
              <w:pStyle w:val="Pro-Gramma"/>
              <w:spacing w:before="0" w:after="0" w:line="240" w:lineRule="auto"/>
              <w:ind w:left="0"/>
              <w:rPr>
                <w:szCs w:val="20"/>
              </w:rPr>
            </w:pPr>
            <w:r w:rsidRPr="00213DBA">
              <w:rPr>
                <w:rFonts w:ascii="Times New Roman" w:hAnsi="Times New Roman"/>
                <w:szCs w:val="20"/>
              </w:rPr>
              <w:t>Создание необходимых условий для деятельности сотрудников органов внутренних дел</w:t>
            </w:r>
          </w:p>
        </w:tc>
        <w:tc>
          <w:tcPr>
            <w:tcW w:w="2410" w:type="dxa"/>
            <w:vMerge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F2C" w:rsidRPr="00213DBA" w:rsidRDefault="00E91694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1 400</w:t>
            </w:r>
            <w:r w:rsidR="004A7F2C" w:rsidRPr="00213DBA">
              <w:rPr>
                <w:sz w:val="20"/>
                <w:szCs w:val="20"/>
              </w:rPr>
              <w:t>,0</w:t>
            </w:r>
          </w:p>
        </w:tc>
      </w:tr>
      <w:tr w:rsidR="004A7F2C" w:rsidRPr="00213DBA" w:rsidTr="000913C9">
        <w:tc>
          <w:tcPr>
            <w:tcW w:w="594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3</w:t>
            </w:r>
          </w:p>
        </w:tc>
        <w:tc>
          <w:tcPr>
            <w:tcW w:w="4759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2410" w:type="dxa"/>
            <w:vMerge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1180,0</w:t>
            </w:r>
          </w:p>
        </w:tc>
      </w:tr>
      <w:tr w:rsidR="004A7F2C" w:rsidRPr="00213DBA" w:rsidTr="000913C9">
        <w:tc>
          <w:tcPr>
            <w:tcW w:w="594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4</w:t>
            </w:r>
          </w:p>
        </w:tc>
        <w:tc>
          <w:tcPr>
            <w:tcW w:w="4759" w:type="dxa"/>
          </w:tcPr>
          <w:p w:rsidR="004A7F2C" w:rsidRPr="00213DBA" w:rsidRDefault="004A7F2C" w:rsidP="007664A2">
            <w:pPr>
              <w:spacing w:after="0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Модернизация и развитие системы видеонаблюдения АПК «Безопасный город» в общественных местах</w:t>
            </w:r>
          </w:p>
        </w:tc>
        <w:tc>
          <w:tcPr>
            <w:tcW w:w="2410" w:type="dxa"/>
            <w:vMerge/>
          </w:tcPr>
          <w:p w:rsidR="004A7F2C" w:rsidRPr="00213DBA" w:rsidRDefault="004A7F2C" w:rsidP="007664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F2C" w:rsidRPr="00213DBA" w:rsidRDefault="00E91694" w:rsidP="007664A2">
            <w:pPr>
              <w:spacing w:after="0"/>
              <w:jc w:val="center"/>
              <w:rPr>
                <w:sz w:val="20"/>
                <w:szCs w:val="20"/>
              </w:rPr>
            </w:pPr>
            <w:r w:rsidRPr="00213DBA">
              <w:rPr>
                <w:sz w:val="20"/>
                <w:szCs w:val="20"/>
              </w:rPr>
              <w:t>2 6</w:t>
            </w:r>
            <w:r w:rsidR="004A7F2C" w:rsidRPr="00213DBA">
              <w:rPr>
                <w:sz w:val="20"/>
                <w:szCs w:val="20"/>
              </w:rPr>
              <w:t>20,0</w:t>
            </w:r>
          </w:p>
        </w:tc>
      </w:tr>
    </w:tbl>
    <w:p w:rsidR="004A7F2C" w:rsidRPr="0095780B" w:rsidRDefault="0095780B" w:rsidP="007664A2">
      <w:pPr>
        <w:pStyle w:val="Pro-Gramma"/>
        <w:spacing w:before="0"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13DBA">
        <w:rPr>
          <w:rFonts w:ascii="Times New Roman" w:hAnsi="Times New Roman"/>
          <w:sz w:val="24"/>
        </w:rPr>
        <w:t xml:space="preserve"> </w:t>
      </w:r>
      <w:r w:rsidRPr="0095780B">
        <w:rPr>
          <w:rFonts w:ascii="Times New Roman" w:hAnsi="Times New Roman"/>
          <w:sz w:val="24"/>
        </w:rPr>
        <w:t>»</w:t>
      </w:r>
      <w:r w:rsidR="00213DBA">
        <w:rPr>
          <w:rFonts w:ascii="Times New Roman" w:hAnsi="Times New Roman"/>
          <w:sz w:val="24"/>
        </w:rPr>
        <w:t>.</w:t>
      </w:r>
    </w:p>
    <w:p w:rsidR="004A7F2C" w:rsidRDefault="004A7F2C" w:rsidP="007664A2">
      <w:pPr>
        <w:pStyle w:val="Pro-List3"/>
        <w:spacing w:after="0"/>
      </w:pPr>
    </w:p>
    <w:p w:rsidR="004A7F2C" w:rsidRDefault="004A7F2C" w:rsidP="007664A2">
      <w:pPr>
        <w:pStyle w:val="Pro-Gramma"/>
        <w:suppressAutoHyphens/>
        <w:spacing w:before="0" w:after="0" w:line="240" w:lineRule="auto"/>
        <w:ind w:left="5387"/>
        <w:rPr>
          <w:szCs w:val="20"/>
        </w:rPr>
      </w:pPr>
    </w:p>
    <w:p w:rsidR="004A7F2C" w:rsidRDefault="004A7F2C" w:rsidP="007664A2">
      <w:pPr>
        <w:pStyle w:val="Pro-Gramma"/>
        <w:suppressAutoHyphens/>
        <w:spacing w:before="0" w:after="0" w:line="240" w:lineRule="auto"/>
        <w:ind w:left="5387"/>
        <w:rPr>
          <w:szCs w:val="20"/>
        </w:rPr>
      </w:pPr>
    </w:p>
    <w:p w:rsidR="004A7F2C" w:rsidRDefault="004A7F2C" w:rsidP="007664A2">
      <w:pPr>
        <w:widowControl w:val="0"/>
        <w:autoSpaceDE w:val="0"/>
        <w:autoSpaceDN w:val="0"/>
        <w:adjustRightInd w:val="0"/>
        <w:spacing w:after="0"/>
      </w:pPr>
    </w:p>
    <w:p w:rsidR="001F0BA9" w:rsidRDefault="001F0BA9" w:rsidP="007664A2">
      <w:pPr>
        <w:widowControl w:val="0"/>
        <w:autoSpaceDE w:val="0"/>
        <w:autoSpaceDN w:val="0"/>
        <w:adjustRightInd w:val="0"/>
        <w:spacing w:after="0"/>
      </w:pPr>
    </w:p>
    <w:p w:rsidR="001F0BA9" w:rsidRDefault="001F0BA9" w:rsidP="007664A2">
      <w:pPr>
        <w:widowControl w:val="0"/>
        <w:autoSpaceDE w:val="0"/>
        <w:autoSpaceDN w:val="0"/>
        <w:adjustRightInd w:val="0"/>
        <w:spacing w:after="0"/>
      </w:pPr>
    </w:p>
    <w:p w:rsidR="001F0BA9" w:rsidRDefault="001F0BA9" w:rsidP="007664A2">
      <w:pPr>
        <w:widowControl w:val="0"/>
        <w:autoSpaceDE w:val="0"/>
        <w:autoSpaceDN w:val="0"/>
        <w:adjustRightInd w:val="0"/>
        <w:spacing w:after="0"/>
      </w:pPr>
    </w:p>
    <w:p w:rsidR="001F0BA9" w:rsidRDefault="001F0BA9" w:rsidP="007664A2">
      <w:pPr>
        <w:widowControl w:val="0"/>
        <w:autoSpaceDE w:val="0"/>
        <w:autoSpaceDN w:val="0"/>
        <w:adjustRightInd w:val="0"/>
        <w:spacing w:after="0"/>
      </w:pPr>
    </w:p>
    <w:p w:rsidR="001F0BA9" w:rsidRDefault="001F0BA9" w:rsidP="007664A2">
      <w:pPr>
        <w:widowControl w:val="0"/>
        <w:autoSpaceDE w:val="0"/>
        <w:autoSpaceDN w:val="0"/>
        <w:adjustRightInd w:val="0"/>
        <w:spacing w:after="0"/>
      </w:pPr>
    </w:p>
    <w:p w:rsidR="00213DBA" w:rsidRDefault="00213DBA" w:rsidP="00AF7DA9">
      <w:pPr>
        <w:widowControl w:val="0"/>
        <w:autoSpaceDE w:val="0"/>
        <w:autoSpaceDN w:val="0"/>
        <w:adjustRightInd w:val="0"/>
        <w:spacing w:after="0"/>
        <w:ind w:left="5664"/>
        <w:jc w:val="left"/>
        <w:sectPr w:rsidR="00213DBA" w:rsidSect="007664A2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7DA9" w:rsidRDefault="00AF7DA9" w:rsidP="00AF7DA9">
      <w:pPr>
        <w:widowControl w:val="0"/>
        <w:autoSpaceDE w:val="0"/>
        <w:autoSpaceDN w:val="0"/>
        <w:adjustRightInd w:val="0"/>
        <w:spacing w:after="0"/>
        <w:ind w:left="5664"/>
        <w:jc w:val="left"/>
      </w:pPr>
      <w:r>
        <w:lastRenderedPageBreak/>
        <w:t xml:space="preserve">Приложение № 2 </w:t>
      </w:r>
    </w:p>
    <w:p w:rsidR="00AF7DA9" w:rsidRDefault="00AF7DA9" w:rsidP="00AF7DA9">
      <w:pPr>
        <w:widowControl w:val="0"/>
        <w:autoSpaceDE w:val="0"/>
        <w:autoSpaceDN w:val="0"/>
        <w:adjustRightInd w:val="0"/>
        <w:spacing w:after="0"/>
        <w:ind w:left="5664"/>
        <w:jc w:val="left"/>
      </w:pPr>
      <w:r>
        <w:t xml:space="preserve">к постановлению </w:t>
      </w:r>
    </w:p>
    <w:p w:rsidR="00AF7DA9" w:rsidRDefault="00AF7DA9" w:rsidP="00AF7DA9">
      <w:pPr>
        <w:widowControl w:val="0"/>
        <w:autoSpaceDE w:val="0"/>
        <w:autoSpaceDN w:val="0"/>
        <w:adjustRightInd w:val="0"/>
        <w:spacing w:after="0"/>
        <w:ind w:left="5664"/>
        <w:jc w:val="left"/>
      </w:pPr>
      <w:r>
        <w:t>Администрации города Иванова</w:t>
      </w:r>
    </w:p>
    <w:p w:rsidR="00AF7DA9" w:rsidRDefault="00AF7DA9" w:rsidP="00AF7DA9">
      <w:pPr>
        <w:widowControl w:val="0"/>
        <w:autoSpaceDE w:val="0"/>
        <w:autoSpaceDN w:val="0"/>
        <w:adjustRightInd w:val="0"/>
        <w:spacing w:after="0"/>
        <w:ind w:left="5664"/>
        <w:jc w:val="left"/>
      </w:pPr>
      <w:r>
        <w:t>от__</w:t>
      </w:r>
      <w:r w:rsidR="0012740A" w:rsidRPr="0012740A">
        <w:rPr>
          <w:u w:val="single"/>
        </w:rPr>
        <w:t>05.05.2014</w:t>
      </w:r>
      <w:r>
        <w:t>__ № __</w:t>
      </w:r>
      <w:r w:rsidR="0012740A" w:rsidRPr="0012740A">
        <w:rPr>
          <w:u w:val="single"/>
        </w:rPr>
        <w:t>932</w:t>
      </w:r>
      <w:r>
        <w:t>__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left="540"/>
        <w:rPr>
          <w:rFonts w:cs="Times New Roman"/>
          <w:szCs w:val="24"/>
        </w:rPr>
      </w:pPr>
    </w:p>
    <w:p w:rsidR="008135C1" w:rsidRDefault="00213DBA" w:rsidP="007664A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8135C1">
        <w:rPr>
          <w:rFonts w:cs="Times New Roman"/>
          <w:szCs w:val="24"/>
        </w:rPr>
        <w:t>Специальная подпрограмма</w:t>
      </w:r>
    </w:p>
    <w:p w:rsidR="008135C1" w:rsidRDefault="00213DBA" w:rsidP="007664A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8135C1">
        <w:rPr>
          <w:rFonts w:cs="Times New Roman"/>
          <w:szCs w:val="24"/>
        </w:rPr>
        <w:t>Повышение безопасности дорожного движения</w:t>
      </w:r>
      <w:r>
        <w:rPr>
          <w:rFonts w:cs="Times New Roman"/>
          <w:szCs w:val="24"/>
        </w:rPr>
        <w:t>»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Срок реализации подпрограммы: 2014 - 2016 гг.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0" w:name="_GoBack"/>
      <w:bookmarkEnd w:id="0"/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1. Ожидаемые результаты реализации подпрограммы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 w:rsidRPr="002F61DB">
        <w:rPr>
          <w:rFonts w:cs="Times New Roman"/>
        </w:rPr>
        <w:t xml:space="preserve">Реализация подпрограммы позволит в течение 3 лет построить (реконструировать) более </w:t>
      </w:r>
      <w:r>
        <w:rPr>
          <w:rFonts w:cs="Times New Roman"/>
        </w:rPr>
        <w:t>3</w:t>
      </w:r>
      <w:r w:rsidRPr="002F61DB">
        <w:rPr>
          <w:rFonts w:cs="Times New Roman"/>
        </w:rPr>
        <w:t xml:space="preserve"> тыс. м. автомобильных дорог. Завершится не менее 3 крупных объектов в области дорожного строительства</w:t>
      </w:r>
      <w:r>
        <w:rPr>
          <w:rFonts w:cs="Times New Roman"/>
          <w:szCs w:val="24"/>
        </w:rPr>
        <w:t>.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t>Таблица 1. Сведения о целевых индикаторах (показателях) реализации подпрограммы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tbl>
      <w:tblPr>
        <w:tblW w:w="0" w:type="auto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756"/>
        <w:gridCol w:w="916"/>
        <w:gridCol w:w="864"/>
        <w:gridCol w:w="911"/>
        <w:gridCol w:w="903"/>
        <w:gridCol w:w="874"/>
      </w:tblGrid>
      <w:tr w:rsidR="008135C1" w:rsidRPr="00213DBA" w:rsidTr="008135C1">
        <w:trPr>
          <w:trHeight w:val="360"/>
          <w:tblCellSpacing w:w="5" w:type="nil"/>
          <w:jc w:val="center"/>
        </w:trPr>
        <w:tc>
          <w:tcPr>
            <w:tcW w:w="540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N</w:t>
            </w:r>
          </w:p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13DB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213DBA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996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Наименование целевого индикатора</w:t>
            </w:r>
          </w:p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(показателя)</w:t>
            </w:r>
          </w:p>
        </w:tc>
        <w:tc>
          <w:tcPr>
            <w:tcW w:w="756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Ед.</w:t>
            </w:r>
          </w:p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916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864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2013,</w:t>
            </w:r>
          </w:p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оценка</w:t>
            </w:r>
          </w:p>
        </w:tc>
        <w:tc>
          <w:tcPr>
            <w:tcW w:w="911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903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874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8135C1" w:rsidRPr="00213DBA" w:rsidTr="008135C1">
        <w:trPr>
          <w:trHeight w:val="540"/>
          <w:tblCellSpacing w:w="5" w:type="nil"/>
          <w:jc w:val="center"/>
        </w:trPr>
        <w:tc>
          <w:tcPr>
            <w:tcW w:w="540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996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Протяженность          построенных, реконструированных    автомобильных дорог</w:t>
            </w:r>
          </w:p>
        </w:tc>
        <w:tc>
          <w:tcPr>
            <w:tcW w:w="756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864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2 396</w:t>
            </w:r>
          </w:p>
        </w:tc>
        <w:tc>
          <w:tcPr>
            <w:tcW w:w="903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803</w:t>
            </w:r>
          </w:p>
        </w:tc>
      </w:tr>
      <w:tr w:rsidR="008135C1" w:rsidRPr="00213DBA" w:rsidTr="008135C1">
        <w:trPr>
          <w:trHeight w:val="54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856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2 200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Достижение ожидаемых результатов реализации подпрограммы сопряжено с финансовыми рисками, обусловленными </w:t>
      </w:r>
      <w:proofErr w:type="spellStart"/>
      <w:r>
        <w:rPr>
          <w:rFonts w:cs="Times New Roman"/>
          <w:szCs w:val="24"/>
        </w:rPr>
        <w:t>софинансированием</w:t>
      </w:r>
      <w:proofErr w:type="spellEnd"/>
      <w:r>
        <w:rPr>
          <w:rFonts w:cs="Times New Roman"/>
          <w:szCs w:val="24"/>
        </w:rPr>
        <w:t xml:space="preserve"> строительства (реконструкции) объектов капитального строительства из бюджета Ивановской области.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2. Мероприятия подпрограммы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>Реализация подпрограммы предполагает выполнение следующих мероприятий: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Строительство дорожной сети </w:t>
      </w:r>
      <w:proofErr w:type="gramStart"/>
      <w:r>
        <w:rPr>
          <w:rFonts w:cs="Times New Roman"/>
          <w:szCs w:val="24"/>
        </w:rPr>
        <w:t>по ул</w:t>
      </w:r>
      <w:r w:rsidR="00213DBA">
        <w:rPr>
          <w:rFonts w:cs="Times New Roman"/>
          <w:szCs w:val="24"/>
        </w:rPr>
        <w:t>ице</w:t>
      </w:r>
      <w:r>
        <w:rPr>
          <w:rFonts w:cs="Times New Roman"/>
          <w:szCs w:val="24"/>
        </w:rPr>
        <w:t xml:space="preserve"> Кудряшова на участке от пр</w:t>
      </w:r>
      <w:r w:rsidR="00213DBA">
        <w:rPr>
          <w:rFonts w:cs="Times New Roman"/>
          <w:szCs w:val="24"/>
        </w:rPr>
        <w:t>оспекта</w:t>
      </w:r>
      <w:r>
        <w:rPr>
          <w:rFonts w:cs="Times New Roman"/>
          <w:szCs w:val="24"/>
        </w:rPr>
        <w:t xml:space="preserve"> Строителей до ул</w:t>
      </w:r>
      <w:r w:rsidR="00213DBA">
        <w:rPr>
          <w:rFonts w:cs="Times New Roman"/>
          <w:szCs w:val="24"/>
        </w:rPr>
        <w:t>ицы</w:t>
      </w:r>
      <w:r>
        <w:rPr>
          <w:rFonts w:cs="Times New Roman"/>
          <w:szCs w:val="24"/>
        </w:rPr>
        <w:t xml:space="preserve"> Генерала Хлебникова с устройством</w:t>
      </w:r>
      <w:proofErr w:type="gramEnd"/>
      <w:r>
        <w:rPr>
          <w:rFonts w:cs="Times New Roman"/>
          <w:szCs w:val="24"/>
        </w:rPr>
        <w:t xml:space="preserve"> искусственных сооружений.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>Реализация проекта позволит значительно разгрузить проспе</w:t>
      </w:r>
      <w:proofErr w:type="gramStart"/>
      <w:r>
        <w:rPr>
          <w:rFonts w:cs="Times New Roman"/>
          <w:szCs w:val="24"/>
        </w:rPr>
        <w:t>кт Стр</w:t>
      </w:r>
      <w:proofErr w:type="gramEnd"/>
      <w:r>
        <w:rPr>
          <w:rFonts w:cs="Times New Roman"/>
          <w:szCs w:val="24"/>
        </w:rPr>
        <w:t>оителей и кольцо на ул</w:t>
      </w:r>
      <w:r w:rsidR="00213DBA">
        <w:rPr>
          <w:rFonts w:cs="Times New Roman"/>
          <w:szCs w:val="24"/>
        </w:rPr>
        <w:t>ице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Лежневской</w:t>
      </w:r>
      <w:proofErr w:type="spellEnd"/>
      <w:r>
        <w:rPr>
          <w:rFonts w:cs="Times New Roman"/>
          <w:szCs w:val="24"/>
        </w:rPr>
        <w:t>, снизить интенсивность транспортных потоков. В ходе реализации проекта появится возможность благоустроить территорию, прилежащую к автодороге и микрорайону Московский, выполнить наружное освещение, водоотвод с территории.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>Строительство дороги предполагает возможность частичного финансирования из бюджета Ивановской области.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>Срок выполнения мероприятия - 2014 - 2016 годы.</w:t>
      </w:r>
    </w:p>
    <w:p w:rsidR="008135C1" w:rsidRDefault="008135C1" w:rsidP="007664A2">
      <w:pPr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</w:rPr>
        <w:t xml:space="preserve">2. </w:t>
      </w:r>
      <w:r w:rsidRPr="00207476">
        <w:rPr>
          <w:rFonts w:cs="Times New Roman"/>
          <w:szCs w:val="24"/>
        </w:rPr>
        <w:t xml:space="preserve">Реконструкция улицы </w:t>
      </w:r>
      <w:proofErr w:type="spellStart"/>
      <w:r w:rsidRPr="00207476">
        <w:rPr>
          <w:rFonts w:cs="Times New Roman"/>
          <w:szCs w:val="24"/>
        </w:rPr>
        <w:t>Куконковых</w:t>
      </w:r>
      <w:proofErr w:type="spellEnd"/>
      <w:r w:rsidRPr="00207476">
        <w:rPr>
          <w:rFonts w:cs="Times New Roman"/>
          <w:szCs w:val="24"/>
        </w:rPr>
        <w:t xml:space="preserve"> и </w:t>
      </w:r>
      <w:proofErr w:type="spellStart"/>
      <w:r w:rsidRPr="00207476">
        <w:rPr>
          <w:rFonts w:cs="Times New Roman"/>
          <w:szCs w:val="24"/>
        </w:rPr>
        <w:t>Кохомского</w:t>
      </w:r>
      <w:proofErr w:type="spellEnd"/>
      <w:r w:rsidRPr="00207476">
        <w:rPr>
          <w:rFonts w:cs="Times New Roman"/>
          <w:szCs w:val="24"/>
        </w:rPr>
        <w:t xml:space="preserve"> шоссе с устройством искусственных сооружений, входящих в состав транспортной развязки Тейково-Шуя-Кинешма</w:t>
      </w:r>
      <w:r>
        <w:rPr>
          <w:rFonts w:cs="Times New Roman"/>
          <w:szCs w:val="24"/>
        </w:rPr>
        <w:t>.</w:t>
      </w:r>
    </w:p>
    <w:p w:rsidR="008135C1" w:rsidRDefault="008135C1" w:rsidP="007664A2">
      <w:pPr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>Мероприятие предполагает завершение начатой в 2012 году реконструкции</w:t>
      </w:r>
      <w:r w:rsidRPr="00207476">
        <w:rPr>
          <w:rFonts w:cs="Times New Roman"/>
          <w:szCs w:val="24"/>
        </w:rPr>
        <w:t xml:space="preserve"> улицы </w:t>
      </w:r>
      <w:proofErr w:type="spellStart"/>
      <w:r w:rsidRPr="00207476">
        <w:rPr>
          <w:rFonts w:cs="Times New Roman"/>
          <w:szCs w:val="24"/>
        </w:rPr>
        <w:t>Куконковых</w:t>
      </w:r>
      <w:proofErr w:type="spellEnd"/>
      <w:r w:rsidRPr="00207476">
        <w:rPr>
          <w:rFonts w:cs="Times New Roman"/>
          <w:szCs w:val="24"/>
        </w:rPr>
        <w:t xml:space="preserve"> и </w:t>
      </w:r>
      <w:proofErr w:type="spellStart"/>
      <w:r w:rsidRPr="00207476">
        <w:rPr>
          <w:rFonts w:cs="Times New Roman"/>
          <w:szCs w:val="24"/>
        </w:rPr>
        <w:t>Кохомского</w:t>
      </w:r>
      <w:proofErr w:type="spellEnd"/>
      <w:r w:rsidRPr="00207476">
        <w:rPr>
          <w:rFonts w:cs="Times New Roman"/>
          <w:szCs w:val="24"/>
        </w:rPr>
        <w:t xml:space="preserve"> шоссе с устройством искусственных сооружений, входящих в состав транспортной развязки Тейково-Шуя-Кинешма</w:t>
      </w:r>
      <w:r>
        <w:rPr>
          <w:rFonts w:cs="Times New Roman"/>
          <w:szCs w:val="24"/>
        </w:rPr>
        <w:t>.</w:t>
      </w:r>
    </w:p>
    <w:p w:rsidR="008135C1" w:rsidRDefault="008135C1" w:rsidP="007664A2">
      <w:pPr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>Срок выполнения мероприятия - 2014 год.</w:t>
      </w:r>
    </w:p>
    <w:p w:rsidR="008135C1" w:rsidRPr="004B201B" w:rsidRDefault="008135C1" w:rsidP="007664A2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4B201B">
        <w:rPr>
          <w:rFonts w:cs="Times New Roman"/>
          <w:szCs w:val="24"/>
        </w:rPr>
        <w:lastRenderedPageBreak/>
        <w:t xml:space="preserve">Строительство дорожной сети </w:t>
      </w:r>
      <w:proofErr w:type="gramStart"/>
      <w:r w:rsidRPr="004B201B">
        <w:rPr>
          <w:rFonts w:cs="Times New Roman"/>
          <w:szCs w:val="24"/>
        </w:rPr>
        <w:t>по ул</w:t>
      </w:r>
      <w:r w:rsidR="00213DBA">
        <w:rPr>
          <w:rFonts w:cs="Times New Roman"/>
          <w:szCs w:val="24"/>
        </w:rPr>
        <w:t>ице</w:t>
      </w:r>
      <w:r w:rsidRPr="004B201B">
        <w:rPr>
          <w:rFonts w:cs="Times New Roman"/>
          <w:szCs w:val="24"/>
        </w:rPr>
        <w:t xml:space="preserve"> Генерала Хлебникова на участке от ул</w:t>
      </w:r>
      <w:r w:rsidR="00213DBA">
        <w:rPr>
          <w:rFonts w:cs="Times New Roman"/>
          <w:szCs w:val="24"/>
        </w:rPr>
        <w:t>ицы</w:t>
      </w:r>
      <w:r w:rsidRPr="004B201B">
        <w:rPr>
          <w:rFonts w:cs="Times New Roman"/>
          <w:szCs w:val="24"/>
        </w:rPr>
        <w:t xml:space="preserve"> Кудряшова до ул</w:t>
      </w:r>
      <w:r w:rsidR="00213DBA">
        <w:rPr>
          <w:rFonts w:cs="Times New Roman"/>
          <w:szCs w:val="24"/>
        </w:rPr>
        <w:t>ицы</w:t>
      </w:r>
      <w:r w:rsidRPr="004B201B">
        <w:rPr>
          <w:rFonts w:cs="Times New Roman"/>
          <w:szCs w:val="24"/>
        </w:rPr>
        <w:t xml:space="preserve"> Шубиных с устройством</w:t>
      </w:r>
      <w:proofErr w:type="gramEnd"/>
      <w:r w:rsidRPr="004B201B">
        <w:rPr>
          <w:rFonts w:cs="Times New Roman"/>
          <w:szCs w:val="24"/>
        </w:rPr>
        <w:t xml:space="preserve"> искусственных сооружений.</w:t>
      </w:r>
    </w:p>
    <w:p w:rsidR="008135C1" w:rsidRDefault="008135C1" w:rsidP="007664A2">
      <w:pPr>
        <w:adjustRightInd w:val="0"/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Мероприятие предполагает завершение начатого в 2013 году строительства</w:t>
      </w:r>
      <w:r w:rsidRPr="00207476">
        <w:rPr>
          <w:rFonts w:cs="Times New Roman"/>
          <w:szCs w:val="24"/>
        </w:rPr>
        <w:t xml:space="preserve"> дорожной сети </w:t>
      </w:r>
      <w:proofErr w:type="gramStart"/>
      <w:r w:rsidRPr="00207476">
        <w:rPr>
          <w:rFonts w:cs="Times New Roman"/>
          <w:szCs w:val="24"/>
        </w:rPr>
        <w:t>по ул</w:t>
      </w:r>
      <w:r w:rsidR="00213DBA">
        <w:rPr>
          <w:rFonts w:cs="Times New Roman"/>
          <w:szCs w:val="24"/>
        </w:rPr>
        <w:t>ице</w:t>
      </w:r>
      <w:r w:rsidRPr="00207476">
        <w:rPr>
          <w:rFonts w:cs="Times New Roman"/>
          <w:szCs w:val="24"/>
        </w:rPr>
        <w:t xml:space="preserve"> Генерала Хлебникова на участке от ул</w:t>
      </w:r>
      <w:r w:rsidR="00213DBA">
        <w:rPr>
          <w:rFonts w:cs="Times New Roman"/>
          <w:szCs w:val="24"/>
        </w:rPr>
        <w:t>ицы</w:t>
      </w:r>
      <w:r w:rsidRPr="00207476">
        <w:rPr>
          <w:rFonts w:cs="Times New Roman"/>
          <w:szCs w:val="24"/>
        </w:rPr>
        <w:t xml:space="preserve"> Кудряшова до ул</w:t>
      </w:r>
      <w:r w:rsidR="00213DBA">
        <w:rPr>
          <w:rFonts w:cs="Times New Roman"/>
          <w:szCs w:val="24"/>
        </w:rPr>
        <w:t>ицы</w:t>
      </w:r>
      <w:r w:rsidRPr="00207476">
        <w:rPr>
          <w:rFonts w:cs="Times New Roman"/>
          <w:szCs w:val="24"/>
        </w:rPr>
        <w:t xml:space="preserve"> Шубиных с устройством</w:t>
      </w:r>
      <w:proofErr w:type="gramEnd"/>
      <w:r w:rsidRPr="00207476">
        <w:rPr>
          <w:rFonts w:cs="Times New Roman"/>
          <w:szCs w:val="24"/>
        </w:rPr>
        <w:t xml:space="preserve"> искусственных сооружений</w:t>
      </w:r>
      <w:r>
        <w:rPr>
          <w:rFonts w:cs="Times New Roman"/>
          <w:szCs w:val="24"/>
        </w:rPr>
        <w:t>.</w:t>
      </w:r>
    </w:p>
    <w:p w:rsidR="008135C1" w:rsidRDefault="008135C1" w:rsidP="007664A2">
      <w:pPr>
        <w:adjustRightInd w:val="0"/>
        <w:spacing w:after="0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Срок выполнения мероприятия - 2014 год.</w:t>
      </w:r>
    </w:p>
    <w:p w:rsidR="008135C1" w:rsidRPr="004B201B" w:rsidRDefault="008135C1" w:rsidP="007664A2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4B201B">
        <w:rPr>
          <w:rFonts w:cs="Times New Roman"/>
          <w:szCs w:val="24"/>
        </w:rPr>
        <w:t>Разработка проектно-сметной документации на «Строительство окружной дороги по ул</w:t>
      </w:r>
      <w:r w:rsidR="00213DBA">
        <w:rPr>
          <w:rFonts w:cs="Times New Roman"/>
          <w:szCs w:val="24"/>
        </w:rPr>
        <w:t>ице</w:t>
      </w:r>
      <w:r w:rsidRPr="004B201B">
        <w:rPr>
          <w:rFonts w:cs="Times New Roman"/>
          <w:szCs w:val="24"/>
        </w:rPr>
        <w:t xml:space="preserve"> Станкостроителей в г. Иваново (I этап)».</w:t>
      </w:r>
    </w:p>
    <w:p w:rsidR="008135C1" w:rsidRDefault="008135C1" w:rsidP="007664A2">
      <w:pPr>
        <w:tabs>
          <w:tab w:val="left" w:pos="851"/>
        </w:tabs>
        <w:adjustRightInd w:val="0"/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</w:t>
      </w:r>
      <w:r w:rsidRPr="00DF323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 определением сметной стоимости строительства объекта дорожного хозяйства.</w:t>
      </w:r>
    </w:p>
    <w:p w:rsidR="008135C1" w:rsidRDefault="008135C1" w:rsidP="007664A2">
      <w:pPr>
        <w:adjustRightInd w:val="0"/>
        <w:spacing w:after="0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>Срок выполнения мероприятия - 2014 год.</w:t>
      </w:r>
    </w:p>
    <w:p w:rsidR="008135C1" w:rsidRDefault="008135C1" w:rsidP="007664A2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Разработка проектно-сметной документации «Строительство автодороги </w:t>
      </w:r>
      <w:r w:rsidR="00213DBA">
        <w:rPr>
          <w:rFonts w:cs="Times New Roman"/>
          <w:szCs w:val="24"/>
        </w:rPr>
        <w:t xml:space="preserve">                            </w:t>
      </w:r>
      <w:r>
        <w:rPr>
          <w:rFonts w:cs="Times New Roman"/>
          <w:szCs w:val="24"/>
        </w:rPr>
        <w:t xml:space="preserve">от д. </w:t>
      </w:r>
      <w:proofErr w:type="spellStart"/>
      <w:r>
        <w:rPr>
          <w:rFonts w:cs="Times New Roman"/>
          <w:szCs w:val="24"/>
        </w:rPr>
        <w:t>Беркино</w:t>
      </w:r>
      <w:proofErr w:type="spellEnd"/>
      <w:r>
        <w:rPr>
          <w:rFonts w:cs="Times New Roman"/>
          <w:szCs w:val="24"/>
        </w:rPr>
        <w:t xml:space="preserve"> до полигона твердых бытовых отходов».</w:t>
      </w:r>
    </w:p>
    <w:p w:rsidR="008135C1" w:rsidRDefault="008135C1" w:rsidP="007664A2">
      <w:pPr>
        <w:adjustRightInd w:val="0"/>
        <w:spacing w:after="0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8135C1" w:rsidRDefault="008135C1" w:rsidP="007664A2">
      <w:pPr>
        <w:adjustRightInd w:val="0"/>
        <w:spacing w:after="0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Срок выполнения мероприятия - 2014 год.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>
        <w:rPr>
          <w:rFonts w:cs="Times New Roman"/>
          <w:szCs w:val="24"/>
        </w:rPr>
        <w:t>предпроектных</w:t>
      </w:r>
      <w:proofErr w:type="spellEnd"/>
      <w:r>
        <w:rPr>
          <w:rFonts w:cs="Times New Roman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t>Таблица 2. Бюджетные ассигнования на выполнение мероприятий подпрограммы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(тыс. руб.)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1666"/>
        <w:gridCol w:w="1452"/>
        <w:gridCol w:w="1418"/>
        <w:gridCol w:w="992"/>
      </w:tblGrid>
      <w:tr w:rsidR="008135C1" w:rsidRPr="00FC5436" w:rsidTr="00213DBA">
        <w:trPr>
          <w:trHeight w:val="400"/>
          <w:tblCellSpacing w:w="5" w:type="nil"/>
        </w:trPr>
        <w:tc>
          <w:tcPr>
            <w:tcW w:w="600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N</w:t>
            </w:r>
          </w:p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9169D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9169DA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795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66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5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8135C1" w:rsidRPr="00FC5436" w:rsidTr="00213DBA">
        <w:trPr>
          <w:trHeight w:val="289"/>
          <w:tblCellSpacing w:w="5" w:type="nil"/>
        </w:trPr>
        <w:tc>
          <w:tcPr>
            <w:tcW w:w="600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Подпрограмма, всего:                 </w:t>
            </w:r>
          </w:p>
        </w:tc>
        <w:tc>
          <w:tcPr>
            <w:tcW w:w="1666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22 557,20</w:t>
            </w:r>
          </w:p>
        </w:tc>
        <w:tc>
          <w:tcPr>
            <w:tcW w:w="1418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50 000,00</w:t>
            </w:r>
          </w:p>
        </w:tc>
      </w:tr>
      <w:tr w:rsidR="008135C1" w:rsidRPr="00FC5436" w:rsidTr="00213DBA">
        <w:trPr>
          <w:trHeight w:val="267"/>
          <w:tblCellSpacing w:w="5" w:type="nil"/>
        </w:trPr>
        <w:tc>
          <w:tcPr>
            <w:tcW w:w="600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22 557,20</w:t>
            </w:r>
          </w:p>
        </w:tc>
        <w:tc>
          <w:tcPr>
            <w:tcW w:w="1418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50 000,00</w:t>
            </w:r>
          </w:p>
        </w:tc>
      </w:tr>
      <w:tr w:rsidR="008135C1" w:rsidRPr="00FC5436" w:rsidTr="00213DBA">
        <w:trPr>
          <w:trHeight w:val="259"/>
          <w:tblCellSpacing w:w="5" w:type="nil"/>
        </w:trPr>
        <w:tc>
          <w:tcPr>
            <w:tcW w:w="600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8135C1" w:rsidRPr="00213DB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13DBA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8135C1" w:rsidRPr="00213DBA" w:rsidRDefault="0012740A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0" w:history="1">
              <w:r w:rsidR="008135C1" w:rsidRPr="00213DBA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</w:tcPr>
          <w:p w:rsidR="008135C1" w:rsidRPr="00213DBA" w:rsidRDefault="0012740A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1" w:history="1">
              <w:r w:rsidR="008135C1" w:rsidRPr="00213DBA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8135C1" w:rsidRPr="004546B2" w:rsidTr="00213DBA">
        <w:trPr>
          <w:trHeight w:val="1200"/>
          <w:tblCellSpacing w:w="5" w:type="nil"/>
        </w:trPr>
        <w:tc>
          <w:tcPr>
            <w:tcW w:w="600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795" w:type="dxa"/>
            <w:vAlign w:val="center"/>
          </w:tcPr>
          <w:p w:rsidR="008135C1" w:rsidRPr="009169DA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Строительство дорожной  сети  по ул. Кудряшова   на участке  от  пр. Строителей до ул. Генерала Хле</w:t>
            </w:r>
            <w:r>
              <w:rPr>
                <w:rFonts w:cs="Times New Roman"/>
                <w:sz w:val="20"/>
                <w:szCs w:val="20"/>
              </w:rPr>
              <w:t xml:space="preserve">бникова с      устройством </w:t>
            </w:r>
            <w:r w:rsidRPr="009169DA">
              <w:rPr>
                <w:rFonts w:cs="Times New Roman"/>
                <w:sz w:val="20"/>
                <w:szCs w:val="20"/>
              </w:rPr>
              <w:t xml:space="preserve">искусственных сооружений                           </w:t>
            </w:r>
          </w:p>
        </w:tc>
        <w:tc>
          <w:tcPr>
            <w:tcW w:w="1666" w:type="dxa"/>
            <w:vMerge w:val="restart"/>
            <w:vAlign w:val="center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Управление   капитального строительства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Администрации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города       Иванова</w:t>
            </w:r>
          </w:p>
        </w:tc>
        <w:tc>
          <w:tcPr>
            <w:tcW w:w="145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1 000,00</w:t>
            </w:r>
          </w:p>
        </w:tc>
        <w:tc>
          <w:tcPr>
            <w:tcW w:w="1418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50 000,00</w:t>
            </w:r>
          </w:p>
        </w:tc>
      </w:tr>
      <w:tr w:rsidR="008135C1" w:rsidRPr="004546B2" w:rsidTr="00213DBA">
        <w:trPr>
          <w:trHeight w:val="237"/>
          <w:tblCellSpacing w:w="5" w:type="nil"/>
        </w:trPr>
        <w:tc>
          <w:tcPr>
            <w:tcW w:w="600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1 000,00</w:t>
            </w:r>
          </w:p>
        </w:tc>
        <w:tc>
          <w:tcPr>
            <w:tcW w:w="1418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50 000,00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8135C1" w:rsidRPr="00213DBA" w:rsidRDefault="0012740A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2" w:history="1">
              <w:r w:rsidR="008135C1" w:rsidRPr="00213DBA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418" w:type="dxa"/>
          </w:tcPr>
          <w:p w:rsidR="008135C1" w:rsidRPr="00213DBA" w:rsidRDefault="0012740A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3" w:history="1">
              <w:r w:rsidR="008135C1" w:rsidRPr="00213DBA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</w:tcPr>
          <w:p w:rsidR="008135C1" w:rsidRPr="00213DBA" w:rsidRDefault="0012740A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4" w:history="1">
              <w:r w:rsidR="008135C1" w:rsidRPr="00213DBA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Реконструкция улицы </w:t>
            </w:r>
            <w:proofErr w:type="spellStart"/>
            <w:r w:rsidRPr="009169DA">
              <w:rPr>
                <w:rFonts w:cs="Times New Roman"/>
                <w:sz w:val="20"/>
                <w:szCs w:val="20"/>
              </w:rPr>
              <w:t>Куконковых</w:t>
            </w:r>
            <w:proofErr w:type="spellEnd"/>
            <w:r w:rsidRPr="009169D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9169DA">
              <w:rPr>
                <w:rFonts w:cs="Times New Roman"/>
                <w:sz w:val="20"/>
                <w:szCs w:val="20"/>
              </w:rPr>
              <w:t>Кохомского</w:t>
            </w:r>
            <w:proofErr w:type="spellEnd"/>
            <w:r w:rsidRPr="009169DA">
              <w:rPr>
                <w:rFonts w:cs="Times New Roman"/>
                <w:sz w:val="20"/>
                <w:szCs w:val="20"/>
              </w:rPr>
              <w:t xml:space="preserve"> шоссе с устройством искусственных сооружений, входящих в состав транспортной развязки Тейково-Шуя-Кинешма</w:t>
            </w:r>
          </w:p>
        </w:tc>
        <w:tc>
          <w:tcPr>
            <w:tcW w:w="1666" w:type="dxa"/>
            <w:vMerge w:val="restart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Управление   капитального строительства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Администрации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города      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11 589,96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11 589,96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Строительство дорожной сети по ул. Генерала Хлебникова на участке от ул. Кудряшова до ул. Шубиных с устройством искусственных сооружений                      </w:t>
            </w:r>
          </w:p>
        </w:tc>
        <w:tc>
          <w:tcPr>
            <w:tcW w:w="1666" w:type="dxa"/>
            <w:vMerge w:val="restart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Управление   капитального строительства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Администрации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города      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8 519,87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8 519,87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Разработка проектно-сметной документации на «Строительство окружной дороги по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ул. Станкостроителей в г. Иваново (I этап)»</w:t>
            </w:r>
          </w:p>
        </w:tc>
        <w:tc>
          <w:tcPr>
            <w:tcW w:w="1666" w:type="dxa"/>
            <w:vMerge w:val="restart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Управление   капитального строительства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Администрации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города      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447,37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447,37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lastRenderedPageBreak/>
              <w:t xml:space="preserve">5 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Разработка </w:t>
            </w:r>
            <w:r w:rsidRPr="009169DA">
              <w:rPr>
                <w:rFonts w:cs="Times New Roman"/>
                <w:sz w:val="20"/>
                <w:szCs w:val="20"/>
              </w:rPr>
              <w:t xml:space="preserve">проектно-сметной документации «Строительство автодороги от д. </w:t>
            </w:r>
            <w:proofErr w:type="spellStart"/>
            <w:r w:rsidRPr="009169DA">
              <w:rPr>
                <w:rFonts w:cs="Times New Roman"/>
                <w:sz w:val="20"/>
                <w:szCs w:val="20"/>
              </w:rPr>
              <w:t>Беркино</w:t>
            </w:r>
            <w:proofErr w:type="spellEnd"/>
            <w:r w:rsidRPr="009169DA">
              <w:rPr>
                <w:rFonts w:cs="Times New Roman"/>
                <w:sz w:val="20"/>
                <w:szCs w:val="20"/>
              </w:rPr>
              <w:t xml:space="preserve"> до полигона твердых бытовых отходов»</w:t>
            </w:r>
          </w:p>
        </w:tc>
        <w:tc>
          <w:tcPr>
            <w:tcW w:w="1666" w:type="dxa"/>
            <w:vMerge w:val="restart"/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Управление   капитального строительства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Администрации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69DA">
              <w:rPr>
                <w:rFonts w:cs="Times New Roman"/>
                <w:sz w:val="20"/>
                <w:szCs w:val="20"/>
              </w:rPr>
              <w:t>города       Иванова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бюджет города   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35C1" w:rsidRPr="004546B2" w:rsidTr="00213DB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9169DA">
              <w:rPr>
                <w:rFonts w:cs="Times New Roman"/>
                <w:sz w:val="20"/>
                <w:szCs w:val="20"/>
              </w:rPr>
              <w:t xml:space="preserve">- областной бюджет                   </w:t>
            </w:r>
          </w:p>
        </w:tc>
        <w:tc>
          <w:tcPr>
            <w:tcW w:w="1666" w:type="dxa"/>
            <w:vMerge/>
          </w:tcPr>
          <w:p w:rsidR="008135C1" w:rsidRPr="009169DA" w:rsidRDefault="008135C1" w:rsidP="007664A2">
            <w:pPr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C1" w:rsidRPr="009169DA" w:rsidRDefault="00812DC0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>Примечание: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  <w:bookmarkStart w:id="1" w:name="Par60"/>
      <w:bookmarkEnd w:id="1"/>
      <w:r>
        <w:rPr>
          <w:rFonts w:cs="Times New Roman"/>
          <w:szCs w:val="24"/>
        </w:rPr>
        <w:t>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субсидий.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3. Дополнительные эксплуатационные расходы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ind w:firstLine="540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8135C1" w:rsidRDefault="008135C1" w:rsidP="007664A2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(тыс. руб.)</w:t>
      </w:r>
    </w:p>
    <w:tbl>
      <w:tblPr>
        <w:tblW w:w="0" w:type="auto"/>
        <w:jc w:val="center"/>
        <w:tblCellSpacing w:w="5" w:type="nil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76"/>
        <w:gridCol w:w="2673"/>
        <w:gridCol w:w="1037"/>
        <w:gridCol w:w="885"/>
        <w:gridCol w:w="851"/>
        <w:gridCol w:w="972"/>
        <w:gridCol w:w="812"/>
      </w:tblGrid>
      <w:tr w:rsidR="008135C1" w:rsidRPr="00DD13C4" w:rsidTr="00841D33">
        <w:trPr>
          <w:trHeight w:val="1260"/>
          <w:tblCellSpacing w:w="5" w:type="nil"/>
          <w:jc w:val="center"/>
        </w:trPr>
        <w:tc>
          <w:tcPr>
            <w:tcW w:w="567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N</w:t>
            </w:r>
          </w:p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1F6CED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F6CED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276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Мероприятие, в связи с выполнением которого возникают эксплуатационные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F6CED">
              <w:rPr>
                <w:rFonts w:cs="Times New Roman"/>
                <w:sz w:val="20"/>
                <w:szCs w:val="20"/>
              </w:rPr>
              <w:t>расходы</w:t>
            </w:r>
          </w:p>
        </w:tc>
        <w:tc>
          <w:tcPr>
            <w:tcW w:w="2673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Мероприятие, расходное обязательство, на которое относятся эксплуатационные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F6CED">
              <w:rPr>
                <w:rFonts w:cs="Times New Roman"/>
                <w:sz w:val="20"/>
                <w:szCs w:val="20"/>
              </w:rPr>
              <w:t>расходы</w:t>
            </w:r>
          </w:p>
        </w:tc>
        <w:tc>
          <w:tcPr>
            <w:tcW w:w="1037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885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972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812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2018</w:t>
            </w:r>
          </w:p>
        </w:tc>
      </w:tr>
      <w:tr w:rsidR="008135C1" w:rsidRPr="00DD13C4" w:rsidTr="00841D33">
        <w:trPr>
          <w:trHeight w:val="552"/>
          <w:tblCellSpacing w:w="5" w:type="nil"/>
          <w:jc w:val="center"/>
        </w:trPr>
        <w:tc>
          <w:tcPr>
            <w:tcW w:w="567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76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Строительство дорожной сети по ул. Кудряшова  на участке  от   пр. Строителей до ул. Генерала Хлебникова  с устройством искусственных сооружений</w:t>
            </w:r>
          </w:p>
        </w:tc>
        <w:tc>
          <w:tcPr>
            <w:tcW w:w="2673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 xml:space="preserve">Оказание муниципальной услуги «Организация функционирования автомобильных дорог общего пользования» (муниципальная </w:t>
            </w:r>
            <w:hyperlink r:id="rId15" w:history="1">
              <w:r w:rsidRPr="001F6CED">
                <w:rPr>
                  <w:rFonts w:cs="Times New Roman"/>
                  <w:sz w:val="20"/>
                  <w:szCs w:val="20"/>
                </w:rPr>
                <w:t>программа</w:t>
              </w:r>
            </w:hyperlink>
            <w:r w:rsidRPr="001F6CED">
              <w:rPr>
                <w:rFonts w:cs="Times New Roman"/>
                <w:sz w:val="20"/>
                <w:szCs w:val="20"/>
              </w:rPr>
              <w:t xml:space="preserve"> «Благоустройство города Иванова»)</w:t>
            </w:r>
          </w:p>
        </w:tc>
        <w:tc>
          <w:tcPr>
            <w:tcW w:w="1037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1614,86</w:t>
            </w:r>
          </w:p>
        </w:tc>
        <w:tc>
          <w:tcPr>
            <w:tcW w:w="812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1614,86</w:t>
            </w:r>
          </w:p>
        </w:tc>
      </w:tr>
      <w:tr w:rsidR="008135C1" w:rsidRPr="006224E4" w:rsidTr="00841D33">
        <w:trPr>
          <w:trHeight w:val="2160"/>
          <w:tblCellSpacing w:w="5" w:type="nil"/>
          <w:jc w:val="center"/>
        </w:trPr>
        <w:tc>
          <w:tcPr>
            <w:tcW w:w="567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76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 xml:space="preserve">Реконструкция улицы </w:t>
            </w:r>
            <w:proofErr w:type="spellStart"/>
            <w:r w:rsidRPr="001F6CED">
              <w:rPr>
                <w:rFonts w:cs="Times New Roman"/>
                <w:sz w:val="20"/>
                <w:szCs w:val="20"/>
              </w:rPr>
              <w:t>Куконковых</w:t>
            </w:r>
            <w:proofErr w:type="spellEnd"/>
            <w:r w:rsidRPr="001F6CED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1F6CED">
              <w:rPr>
                <w:rFonts w:cs="Times New Roman"/>
                <w:sz w:val="20"/>
                <w:szCs w:val="20"/>
              </w:rPr>
              <w:t>Кохомского</w:t>
            </w:r>
            <w:proofErr w:type="spellEnd"/>
            <w:r w:rsidRPr="001F6CED">
              <w:rPr>
                <w:rFonts w:cs="Times New Roman"/>
                <w:sz w:val="20"/>
                <w:szCs w:val="20"/>
              </w:rPr>
              <w:t xml:space="preserve"> шоссе с устройством искусственных сооружений, входящих в состав транспортной развязки Тейково-Шуя-Кинешма</w:t>
            </w:r>
          </w:p>
        </w:tc>
        <w:tc>
          <w:tcPr>
            <w:tcW w:w="2673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 xml:space="preserve">Оказание муниципальной услуги «Организация функционирования автомобильных дорог общего пользования» (муниципальная </w:t>
            </w:r>
            <w:hyperlink r:id="rId16" w:history="1">
              <w:r w:rsidRPr="001F6CED">
                <w:rPr>
                  <w:rFonts w:cs="Times New Roman"/>
                  <w:sz w:val="20"/>
                  <w:szCs w:val="20"/>
                </w:rPr>
                <w:t>программа</w:t>
              </w:r>
            </w:hyperlink>
            <w:r w:rsidRPr="001F6CED">
              <w:rPr>
                <w:rFonts w:cs="Times New Roman"/>
                <w:sz w:val="20"/>
                <w:szCs w:val="20"/>
              </w:rPr>
              <w:t xml:space="preserve"> «Благоустройство города Иванова»)</w:t>
            </w:r>
          </w:p>
        </w:tc>
        <w:tc>
          <w:tcPr>
            <w:tcW w:w="1037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850,81</w:t>
            </w:r>
          </w:p>
        </w:tc>
        <w:tc>
          <w:tcPr>
            <w:tcW w:w="885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1 992,76</w:t>
            </w:r>
          </w:p>
        </w:tc>
        <w:tc>
          <w:tcPr>
            <w:tcW w:w="851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2 255,19</w:t>
            </w:r>
          </w:p>
        </w:tc>
        <w:tc>
          <w:tcPr>
            <w:tcW w:w="972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2 255,19</w:t>
            </w:r>
          </w:p>
        </w:tc>
        <w:tc>
          <w:tcPr>
            <w:tcW w:w="812" w:type="dxa"/>
            <w:vAlign w:val="center"/>
          </w:tcPr>
          <w:p w:rsidR="008135C1" w:rsidRPr="00841D33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41D33">
              <w:rPr>
                <w:rFonts w:cs="Times New Roman"/>
                <w:sz w:val="18"/>
                <w:szCs w:val="18"/>
              </w:rPr>
              <w:t>2 255,19</w:t>
            </w:r>
          </w:p>
        </w:tc>
      </w:tr>
      <w:tr w:rsidR="008135C1" w:rsidRPr="006224E4" w:rsidTr="00841D33">
        <w:trPr>
          <w:trHeight w:val="902"/>
          <w:tblCellSpacing w:w="5" w:type="nil"/>
          <w:jc w:val="center"/>
        </w:trPr>
        <w:tc>
          <w:tcPr>
            <w:tcW w:w="567" w:type="dxa"/>
            <w:vMerge w:val="restart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76" w:type="dxa"/>
            <w:vMerge w:val="restart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2673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 xml:space="preserve">Оказание муниципальной услуги «Организация функционирования автомобильных дорог общего пользования» (муниципальная </w:t>
            </w:r>
            <w:hyperlink r:id="rId17" w:history="1">
              <w:r w:rsidRPr="001F6CED">
                <w:rPr>
                  <w:rFonts w:cs="Times New Roman"/>
                  <w:sz w:val="20"/>
                  <w:szCs w:val="20"/>
                </w:rPr>
                <w:t>программа</w:t>
              </w:r>
            </w:hyperlink>
            <w:r w:rsidRPr="001F6CED">
              <w:rPr>
                <w:rFonts w:cs="Times New Roman"/>
                <w:sz w:val="20"/>
                <w:szCs w:val="20"/>
              </w:rPr>
              <w:t xml:space="preserve"> «Благоустройство города Иванова»)</w:t>
            </w:r>
          </w:p>
        </w:tc>
        <w:tc>
          <w:tcPr>
            <w:tcW w:w="1037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616,79</w:t>
            </w:r>
          </w:p>
        </w:tc>
        <w:tc>
          <w:tcPr>
            <w:tcW w:w="885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1 452,65</w:t>
            </w:r>
          </w:p>
        </w:tc>
        <w:tc>
          <w:tcPr>
            <w:tcW w:w="851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1 649,22</w:t>
            </w:r>
          </w:p>
        </w:tc>
        <w:tc>
          <w:tcPr>
            <w:tcW w:w="972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1 649,22</w:t>
            </w:r>
          </w:p>
        </w:tc>
        <w:tc>
          <w:tcPr>
            <w:tcW w:w="812" w:type="dxa"/>
            <w:vAlign w:val="center"/>
          </w:tcPr>
          <w:p w:rsidR="008135C1" w:rsidRPr="00841D33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41D33">
              <w:rPr>
                <w:rFonts w:cs="Times New Roman"/>
                <w:sz w:val="18"/>
                <w:szCs w:val="18"/>
              </w:rPr>
              <w:t>1 649,22</w:t>
            </w:r>
          </w:p>
        </w:tc>
      </w:tr>
      <w:tr w:rsidR="008135C1" w:rsidRPr="006224E4" w:rsidTr="00841D33">
        <w:trPr>
          <w:trHeight w:val="901"/>
          <w:tblCellSpacing w:w="5" w:type="nil"/>
          <w:jc w:val="center"/>
        </w:trPr>
        <w:tc>
          <w:tcPr>
            <w:tcW w:w="567" w:type="dxa"/>
            <w:vMerge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Оказание муниципальной услуги</w:t>
            </w:r>
            <w:r>
              <w:rPr>
                <w:rFonts w:cs="Times New Roman"/>
                <w:sz w:val="20"/>
                <w:szCs w:val="20"/>
              </w:rPr>
              <w:t xml:space="preserve"> «Наружное освещение» (</w:t>
            </w:r>
            <w:r w:rsidRPr="001F6CED">
              <w:rPr>
                <w:rFonts w:cs="Times New Roman"/>
                <w:sz w:val="20"/>
                <w:szCs w:val="20"/>
              </w:rPr>
              <w:t xml:space="preserve">муниципальная </w:t>
            </w:r>
            <w:hyperlink r:id="rId18" w:history="1">
              <w:r w:rsidRPr="001F6CED">
                <w:rPr>
                  <w:rFonts w:cs="Times New Roman"/>
                  <w:sz w:val="20"/>
                  <w:szCs w:val="20"/>
                </w:rPr>
                <w:t>программа</w:t>
              </w:r>
            </w:hyperlink>
            <w:r w:rsidRPr="001F6CED">
              <w:rPr>
                <w:rFonts w:cs="Times New Roman"/>
                <w:sz w:val="20"/>
                <w:szCs w:val="20"/>
              </w:rPr>
              <w:t xml:space="preserve"> «Благоустройство города Иванова»)</w:t>
            </w:r>
          </w:p>
        </w:tc>
        <w:tc>
          <w:tcPr>
            <w:tcW w:w="1037" w:type="dxa"/>
            <w:vAlign w:val="center"/>
          </w:tcPr>
          <w:p w:rsidR="008135C1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46,07</w:t>
            </w:r>
          </w:p>
        </w:tc>
        <w:tc>
          <w:tcPr>
            <w:tcW w:w="885" w:type="dxa"/>
            <w:vAlign w:val="center"/>
          </w:tcPr>
          <w:p w:rsidR="008135C1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97,00</w:t>
            </w:r>
          </w:p>
        </w:tc>
        <w:tc>
          <w:tcPr>
            <w:tcW w:w="851" w:type="dxa"/>
            <w:vAlign w:val="center"/>
          </w:tcPr>
          <w:p w:rsidR="008135C1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102,41</w:t>
            </w:r>
          </w:p>
        </w:tc>
        <w:tc>
          <w:tcPr>
            <w:tcW w:w="972" w:type="dxa"/>
            <w:vAlign w:val="center"/>
          </w:tcPr>
          <w:p w:rsidR="008135C1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102,41</w:t>
            </w:r>
          </w:p>
        </w:tc>
        <w:tc>
          <w:tcPr>
            <w:tcW w:w="812" w:type="dxa"/>
            <w:vAlign w:val="center"/>
          </w:tcPr>
          <w:p w:rsidR="008135C1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102,41</w:t>
            </w:r>
          </w:p>
        </w:tc>
      </w:tr>
      <w:tr w:rsidR="008135C1" w:rsidRPr="006224E4" w:rsidTr="00841D33">
        <w:trPr>
          <w:trHeight w:val="360"/>
          <w:tblCellSpacing w:w="5" w:type="nil"/>
          <w:jc w:val="center"/>
        </w:trPr>
        <w:tc>
          <w:tcPr>
            <w:tcW w:w="567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1F6CED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2673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1 513,67</w:t>
            </w:r>
          </w:p>
        </w:tc>
        <w:tc>
          <w:tcPr>
            <w:tcW w:w="885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3 542,41</w:t>
            </w:r>
          </w:p>
        </w:tc>
        <w:tc>
          <w:tcPr>
            <w:tcW w:w="851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4 006,82</w:t>
            </w:r>
          </w:p>
        </w:tc>
        <w:tc>
          <w:tcPr>
            <w:tcW w:w="972" w:type="dxa"/>
            <w:vAlign w:val="center"/>
          </w:tcPr>
          <w:p w:rsidR="008135C1" w:rsidRPr="001F6CED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5 621,68</w:t>
            </w:r>
          </w:p>
        </w:tc>
        <w:tc>
          <w:tcPr>
            <w:tcW w:w="812" w:type="dxa"/>
            <w:vAlign w:val="center"/>
          </w:tcPr>
          <w:p w:rsidR="008135C1" w:rsidRPr="00841D33" w:rsidRDefault="008135C1" w:rsidP="007664A2">
            <w:pPr>
              <w:adjustRightInd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841D33">
              <w:rPr>
                <w:rFonts w:cs="Times New Roman"/>
                <w:sz w:val="18"/>
                <w:szCs w:val="18"/>
              </w:rPr>
              <w:t>5 621,68</w:t>
            </w:r>
          </w:p>
        </w:tc>
      </w:tr>
    </w:tbl>
    <w:p w:rsidR="008135C1" w:rsidRDefault="00841D33" w:rsidP="00213DBA">
      <w:pPr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13DBA">
        <w:rPr>
          <w:rFonts w:cs="Times New Roman"/>
          <w:szCs w:val="24"/>
        </w:rPr>
        <w:t>».</w:t>
      </w:r>
    </w:p>
    <w:p w:rsidR="0019680F" w:rsidRDefault="0019680F" w:rsidP="007664A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sectPr w:rsidR="0019680F" w:rsidSect="007664A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9E" w:rsidRDefault="00073B9E" w:rsidP="007664A2">
      <w:pPr>
        <w:spacing w:after="0"/>
      </w:pPr>
      <w:r>
        <w:separator/>
      </w:r>
    </w:p>
  </w:endnote>
  <w:endnote w:type="continuationSeparator" w:id="0">
    <w:p w:rsidR="00073B9E" w:rsidRDefault="00073B9E" w:rsidP="00766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9E" w:rsidRDefault="00073B9E" w:rsidP="007664A2">
      <w:pPr>
        <w:spacing w:after="0"/>
      </w:pPr>
      <w:r>
        <w:separator/>
      </w:r>
    </w:p>
  </w:footnote>
  <w:footnote w:type="continuationSeparator" w:id="0">
    <w:p w:rsidR="00073B9E" w:rsidRDefault="00073B9E" w:rsidP="00766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6777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664A2" w:rsidRPr="00AF458C" w:rsidRDefault="007664A2" w:rsidP="00AF458C">
        <w:pPr>
          <w:pStyle w:val="a6"/>
          <w:jc w:val="center"/>
          <w:rPr>
            <w:sz w:val="20"/>
            <w:szCs w:val="20"/>
          </w:rPr>
        </w:pPr>
        <w:r w:rsidRPr="00AF458C">
          <w:rPr>
            <w:sz w:val="20"/>
            <w:szCs w:val="20"/>
          </w:rPr>
          <w:fldChar w:fldCharType="begin"/>
        </w:r>
        <w:r w:rsidRPr="00AF458C">
          <w:rPr>
            <w:sz w:val="20"/>
            <w:szCs w:val="20"/>
          </w:rPr>
          <w:instrText>PAGE   \* MERGEFORMAT</w:instrText>
        </w:r>
        <w:r w:rsidRPr="00AF458C">
          <w:rPr>
            <w:sz w:val="20"/>
            <w:szCs w:val="20"/>
          </w:rPr>
          <w:fldChar w:fldCharType="separate"/>
        </w:r>
        <w:r w:rsidR="0012740A">
          <w:rPr>
            <w:noProof/>
            <w:sz w:val="20"/>
            <w:szCs w:val="20"/>
          </w:rPr>
          <w:t>2</w:t>
        </w:r>
        <w:r w:rsidRPr="00AF458C">
          <w:rPr>
            <w:sz w:val="20"/>
            <w:szCs w:val="20"/>
          </w:rPr>
          <w:fldChar w:fldCharType="end"/>
        </w:r>
      </w:p>
    </w:sdtContent>
  </w:sdt>
  <w:p w:rsidR="007664A2" w:rsidRDefault="007664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678"/>
    <w:multiLevelType w:val="hybridMultilevel"/>
    <w:tmpl w:val="4746C7B6"/>
    <w:lvl w:ilvl="0" w:tplc="D02A8B60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367B7"/>
    <w:multiLevelType w:val="hybridMultilevel"/>
    <w:tmpl w:val="916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E336562"/>
    <w:multiLevelType w:val="hybridMultilevel"/>
    <w:tmpl w:val="0C86D414"/>
    <w:lvl w:ilvl="0" w:tplc="5A609B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D874B54"/>
    <w:multiLevelType w:val="hybridMultilevel"/>
    <w:tmpl w:val="4224D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25EA"/>
    <w:multiLevelType w:val="hybridMultilevel"/>
    <w:tmpl w:val="B0B6D424"/>
    <w:lvl w:ilvl="0" w:tplc="7D3E4334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71A2E"/>
    <w:multiLevelType w:val="hybridMultilevel"/>
    <w:tmpl w:val="C098179C"/>
    <w:lvl w:ilvl="0" w:tplc="AB94E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6"/>
    <w:rsid w:val="00007F12"/>
    <w:rsid w:val="00011C99"/>
    <w:rsid w:val="00025273"/>
    <w:rsid w:val="00026CFF"/>
    <w:rsid w:val="00044704"/>
    <w:rsid w:val="00064891"/>
    <w:rsid w:val="000650F7"/>
    <w:rsid w:val="00071C42"/>
    <w:rsid w:val="00073484"/>
    <w:rsid w:val="00073B9E"/>
    <w:rsid w:val="00091003"/>
    <w:rsid w:val="000913C9"/>
    <w:rsid w:val="00096376"/>
    <w:rsid w:val="000A1B33"/>
    <w:rsid w:val="000B398A"/>
    <w:rsid w:val="000C7174"/>
    <w:rsid w:val="000D3F90"/>
    <w:rsid w:val="000E3CB6"/>
    <w:rsid w:val="000E7605"/>
    <w:rsid w:val="000F0CA0"/>
    <w:rsid w:val="000F3934"/>
    <w:rsid w:val="00106B20"/>
    <w:rsid w:val="00125116"/>
    <w:rsid w:val="0012536F"/>
    <w:rsid w:val="00126806"/>
    <w:rsid w:val="0012740A"/>
    <w:rsid w:val="00153ECA"/>
    <w:rsid w:val="0015636F"/>
    <w:rsid w:val="0015729B"/>
    <w:rsid w:val="001601BD"/>
    <w:rsid w:val="00161088"/>
    <w:rsid w:val="001748C5"/>
    <w:rsid w:val="00175743"/>
    <w:rsid w:val="00181B4C"/>
    <w:rsid w:val="00184B4A"/>
    <w:rsid w:val="001948F3"/>
    <w:rsid w:val="0019680F"/>
    <w:rsid w:val="00196F66"/>
    <w:rsid w:val="001A5096"/>
    <w:rsid w:val="001C03E6"/>
    <w:rsid w:val="001C4A60"/>
    <w:rsid w:val="001D0DAB"/>
    <w:rsid w:val="001D7683"/>
    <w:rsid w:val="001E199A"/>
    <w:rsid w:val="001E1E67"/>
    <w:rsid w:val="001E2E95"/>
    <w:rsid w:val="001E6850"/>
    <w:rsid w:val="001F0BA9"/>
    <w:rsid w:val="001F26BE"/>
    <w:rsid w:val="00213DBA"/>
    <w:rsid w:val="00214772"/>
    <w:rsid w:val="00221B46"/>
    <w:rsid w:val="00224E49"/>
    <w:rsid w:val="00225717"/>
    <w:rsid w:val="0022667A"/>
    <w:rsid w:val="002279FE"/>
    <w:rsid w:val="00272223"/>
    <w:rsid w:val="002775AB"/>
    <w:rsid w:val="00285D91"/>
    <w:rsid w:val="00286246"/>
    <w:rsid w:val="00286A87"/>
    <w:rsid w:val="00291481"/>
    <w:rsid w:val="002A00AA"/>
    <w:rsid w:val="002A5764"/>
    <w:rsid w:val="002B1EDE"/>
    <w:rsid w:val="002B3494"/>
    <w:rsid w:val="002B7BE3"/>
    <w:rsid w:val="002B7FC3"/>
    <w:rsid w:val="002D1802"/>
    <w:rsid w:val="002D182F"/>
    <w:rsid w:val="002D749B"/>
    <w:rsid w:val="002D7EF0"/>
    <w:rsid w:val="002E256D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0F2B"/>
    <w:rsid w:val="0039537E"/>
    <w:rsid w:val="003A1531"/>
    <w:rsid w:val="003A452C"/>
    <w:rsid w:val="003B1D6E"/>
    <w:rsid w:val="003B46A1"/>
    <w:rsid w:val="003B5FAE"/>
    <w:rsid w:val="003B60B3"/>
    <w:rsid w:val="003C12FC"/>
    <w:rsid w:val="003C3B8D"/>
    <w:rsid w:val="003C5588"/>
    <w:rsid w:val="003D351B"/>
    <w:rsid w:val="003D3FC5"/>
    <w:rsid w:val="003D7504"/>
    <w:rsid w:val="003F58FD"/>
    <w:rsid w:val="00401FB4"/>
    <w:rsid w:val="00424FBB"/>
    <w:rsid w:val="0042641E"/>
    <w:rsid w:val="00441855"/>
    <w:rsid w:val="00450137"/>
    <w:rsid w:val="00456ED5"/>
    <w:rsid w:val="00463E92"/>
    <w:rsid w:val="004800D8"/>
    <w:rsid w:val="0048051D"/>
    <w:rsid w:val="00483631"/>
    <w:rsid w:val="00491897"/>
    <w:rsid w:val="004A089D"/>
    <w:rsid w:val="004A16E8"/>
    <w:rsid w:val="004A7688"/>
    <w:rsid w:val="004A7F2C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4F7B94"/>
    <w:rsid w:val="00504C53"/>
    <w:rsid w:val="00510B3F"/>
    <w:rsid w:val="005150C3"/>
    <w:rsid w:val="00515389"/>
    <w:rsid w:val="00525D99"/>
    <w:rsid w:val="00527810"/>
    <w:rsid w:val="00527854"/>
    <w:rsid w:val="00531175"/>
    <w:rsid w:val="00540CA3"/>
    <w:rsid w:val="00552CCE"/>
    <w:rsid w:val="00553749"/>
    <w:rsid w:val="00571729"/>
    <w:rsid w:val="00572EBF"/>
    <w:rsid w:val="0058255D"/>
    <w:rsid w:val="00591BD2"/>
    <w:rsid w:val="005A06D6"/>
    <w:rsid w:val="005A1F41"/>
    <w:rsid w:val="005A5BF3"/>
    <w:rsid w:val="005B5289"/>
    <w:rsid w:val="005B6EDE"/>
    <w:rsid w:val="005C0E44"/>
    <w:rsid w:val="005C3A4C"/>
    <w:rsid w:val="005D5544"/>
    <w:rsid w:val="00613B2D"/>
    <w:rsid w:val="00615985"/>
    <w:rsid w:val="00641B8A"/>
    <w:rsid w:val="00643218"/>
    <w:rsid w:val="00651460"/>
    <w:rsid w:val="006602FB"/>
    <w:rsid w:val="00662E48"/>
    <w:rsid w:val="00663755"/>
    <w:rsid w:val="00664C60"/>
    <w:rsid w:val="00667C22"/>
    <w:rsid w:val="00667C7D"/>
    <w:rsid w:val="006835B2"/>
    <w:rsid w:val="00685AFB"/>
    <w:rsid w:val="00687093"/>
    <w:rsid w:val="00687BB0"/>
    <w:rsid w:val="006910D5"/>
    <w:rsid w:val="006B5F37"/>
    <w:rsid w:val="006C46E7"/>
    <w:rsid w:val="006D6ED3"/>
    <w:rsid w:val="006F3845"/>
    <w:rsid w:val="006F3B6B"/>
    <w:rsid w:val="0071413F"/>
    <w:rsid w:val="007141C7"/>
    <w:rsid w:val="007335D1"/>
    <w:rsid w:val="007412CB"/>
    <w:rsid w:val="007556F4"/>
    <w:rsid w:val="007573AD"/>
    <w:rsid w:val="00757A6F"/>
    <w:rsid w:val="00760D26"/>
    <w:rsid w:val="00764CBB"/>
    <w:rsid w:val="00764EDC"/>
    <w:rsid w:val="00765A7E"/>
    <w:rsid w:val="007664A2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0689"/>
    <w:rsid w:val="007F6517"/>
    <w:rsid w:val="008051E4"/>
    <w:rsid w:val="00811A82"/>
    <w:rsid w:val="00812029"/>
    <w:rsid w:val="00812DC0"/>
    <w:rsid w:val="008135C1"/>
    <w:rsid w:val="008152C7"/>
    <w:rsid w:val="008278C7"/>
    <w:rsid w:val="00832F50"/>
    <w:rsid w:val="00840169"/>
    <w:rsid w:val="00841D33"/>
    <w:rsid w:val="00845715"/>
    <w:rsid w:val="00852ED5"/>
    <w:rsid w:val="0086340C"/>
    <w:rsid w:val="00863756"/>
    <w:rsid w:val="00872ECB"/>
    <w:rsid w:val="0088183E"/>
    <w:rsid w:val="00891EE0"/>
    <w:rsid w:val="00892C0D"/>
    <w:rsid w:val="00894C96"/>
    <w:rsid w:val="008C4A5E"/>
    <w:rsid w:val="008C6D65"/>
    <w:rsid w:val="008E3163"/>
    <w:rsid w:val="008F2FA5"/>
    <w:rsid w:val="008F66C9"/>
    <w:rsid w:val="0090002E"/>
    <w:rsid w:val="00917B1B"/>
    <w:rsid w:val="00920752"/>
    <w:rsid w:val="00924516"/>
    <w:rsid w:val="00932635"/>
    <w:rsid w:val="009456F2"/>
    <w:rsid w:val="00947B05"/>
    <w:rsid w:val="00950C32"/>
    <w:rsid w:val="00954462"/>
    <w:rsid w:val="0095780B"/>
    <w:rsid w:val="009655B8"/>
    <w:rsid w:val="00987231"/>
    <w:rsid w:val="00994FCB"/>
    <w:rsid w:val="009A1F84"/>
    <w:rsid w:val="009A35A0"/>
    <w:rsid w:val="009A4FAD"/>
    <w:rsid w:val="009A5BD6"/>
    <w:rsid w:val="009B15A0"/>
    <w:rsid w:val="009B6E53"/>
    <w:rsid w:val="009B73E0"/>
    <w:rsid w:val="009C2B70"/>
    <w:rsid w:val="009D1888"/>
    <w:rsid w:val="009D2845"/>
    <w:rsid w:val="009D4D65"/>
    <w:rsid w:val="009F67EE"/>
    <w:rsid w:val="009F723C"/>
    <w:rsid w:val="00A00AC1"/>
    <w:rsid w:val="00A1122F"/>
    <w:rsid w:val="00A17565"/>
    <w:rsid w:val="00A202EF"/>
    <w:rsid w:val="00A22E7D"/>
    <w:rsid w:val="00A26E73"/>
    <w:rsid w:val="00A26EC2"/>
    <w:rsid w:val="00A3086F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B62C6"/>
    <w:rsid w:val="00AC74F4"/>
    <w:rsid w:val="00AD0B8D"/>
    <w:rsid w:val="00AD1536"/>
    <w:rsid w:val="00AD1BCC"/>
    <w:rsid w:val="00AD4F2F"/>
    <w:rsid w:val="00AE0AF2"/>
    <w:rsid w:val="00AE1666"/>
    <w:rsid w:val="00AE3811"/>
    <w:rsid w:val="00AE4AB1"/>
    <w:rsid w:val="00AE77BE"/>
    <w:rsid w:val="00AF458C"/>
    <w:rsid w:val="00AF7DA9"/>
    <w:rsid w:val="00B034E6"/>
    <w:rsid w:val="00B05405"/>
    <w:rsid w:val="00B10384"/>
    <w:rsid w:val="00B10B10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96844"/>
    <w:rsid w:val="00BA7828"/>
    <w:rsid w:val="00BB5636"/>
    <w:rsid w:val="00BB6614"/>
    <w:rsid w:val="00BB66B5"/>
    <w:rsid w:val="00BC634D"/>
    <w:rsid w:val="00BC765D"/>
    <w:rsid w:val="00BD3B46"/>
    <w:rsid w:val="00BE642D"/>
    <w:rsid w:val="00BF3E4A"/>
    <w:rsid w:val="00BF6AE0"/>
    <w:rsid w:val="00C06C03"/>
    <w:rsid w:val="00C14182"/>
    <w:rsid w:val="00C34B13"/>
    <w:rsid w:val="00C34D3F"/>
    <w:rsid w:val="00C364D3"/>
    <w:rsid w:val="00C40D53"/>
    <w:rsid w:val="00C4452E"/>
    <w:rsid w:val="00C50059"/>
    <w:rsid w:val="00C61C7F"/>
    <w:rsid w:val="00C67CD4"/>
    <w:rsid w:val="00C70090"/>
    <w:rsid w:val="00C736A5"/>
    <w:rsid w:val="00C816D0"/>
    <w:rsid w:val="00C84BEB"/>
    <w:rsid w:val="00C931EC"/>
    <w:rsid w:val="00CA1E9B"/>
    <w:rsid w:val="00CA71F5"/>
    <w:rsid w:val="00CB327C"/>
    <w:rsid w:val="00CC16DC"/>
    <w:rsid w:val="00CC1B0D"/>
    <w:rsid w:val="00CC1D30"/>
    <w:rsid w:val="00CC29B5"/>
    <w:rsid w:val="00CD35E3"/>
    <w:rsid w:val="00D04B6D"/>
    <w:rsid w:val="00D141BE"/>
    <w:rsid w:val="00D22E00"/>
    <w:rsid w:val="00D245CC"/>
    <w:rsid w:val="00D3067D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507B"/>
    <w:rsid w:val="00DC69D2"/>
    <w:rsid w:val="00DD1D35"/>
    <w:rsid w:val="00DD2041"/>
    <w:rsid w:val="00DD35FD"/>
    <w:rsid w:val="00DD75A9"/>
    <w:rsid w:val="00DE040C"/>
    <w:rsid w:val="00DE0DAA"/>
    <w:rsid w:val="00DE5494"/>
    <w:rsid w:val="00DE7777"/>
    <w:rsid w:val="00DF057A"/>
    <w:rsid w:val="00DF3C8F"/>
    <w:rsid w:val="00E00EBE"/>
    <w:rsid w:val="00E052A7"/>
    <w:rsid w:val="00E2260E"/>
    <w:rsid w:val="00E24EAF"/>
    <w:rsid w:val="00E25CAB"/>
    <w:rsid w:val="00E30542"/>
    <w:rsid w:val="00E3429C"/>
    <w:rsid w:val="00E6795E"/>
    <w:rsid w:val="00E70965"/>
    <w:rsid w:val="00E71189"/>
    <w:rsid w:val="00E72AD2"/>
    <w:rsid w:val="00E74AF3"/>
    <w:rsid w:val="00E83DEB"/>
    <w:rsid w:val="00E91694"/>
    <w:rsid w:val="00E93050"/>
    <w:rsid w:val="00EA09DE"/>
    <w:rsid w:val="00EA6998"/>
    <w:rsid w:val="00EA70E1"/>
    <w:rsid w:val="00EB775E"/>
    <w:rsid w:val="00EB7910"/>
    <w:rsid w:val="00EC43F9"/>
    <w:rsid w:val="00EE0409"/>
    <w:rsid w:val="00EF13D6"/>
    <w:rsid w:val="00F005E0"/>
    <w:rsid w:val="00F032CC"/>
    <w:rsid w:val="00F0709E"/>
    <w:rsid w:val="00F1773A"/>
    <w:rsid w:val="00F21000"/>
    <w:rsid w:val="00F27400"/>
    <w:rsid w:val="00F40016"/>
    <w:rsid w:val="00F40144"/>
    <w:rsid w:val="00F4264D"/>
    <w:rsid w:val="00F54EA7"/>
    <w:rsid w:val="00F55411"/>
    <w:rsid w:val="00F556DE"/>
    <w:rsid w:val="00F56F07"/>
    <w:rsid w:val="00F60318"/>
    <w:rsid w:val="00F62273"/>
    <w:rsid w:val="00F62CC4"/>
    <w:rsid w:val="00F66D7B"/>
    <w:rsid w:val="00F72D27"/>
    <w:rsid w:val="00F82526"/>
    <w:rsid w:val="00F92664"/>
    <w:rsid w:val="00FB3B98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AF47EAB3D806AD40275A5FAF54A8573A36DD40E1F0212E5524DB7A491EF25F45D2BCCE2CA03F85A5746E0CgBI" TargetMode="External"/><Relationship Id="rId18" Type="http://schemas.openxmlformats.org/officeDocument/2006/relationships/hyperlink" Target="consultantplus://offline/ref=7B0DD3961C5253934CFD98C74CD330DA8B03A20AAB7D31CFB1EE44460E5C5A69A54BF069BAE421B5C1B681b7z8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AF47EAB3D806AD40275A5FAF54A8573A36DD40E1F0212E5524DB7A491EF25F45D2BCCE2CA03F85A5746E0CgBI" TargetMode="External"/><Relationship Id="rId17" Type="http://schemas.openxmlformats.org/officeDocument/2006/relationships/hyperlink" Target="consultantplus://offline/ref=7B0DD3961C5253934CFD98C74CD330DA8B03A20AAB7D31CFB1EE44460E5C5A69A54BF069BAE421B5C1B681b7z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0DD3961C5253934CFD98C74CD330DA8B03A20AAB7D31CFB1EE44460E5C5A69A54BF069BAE421B5C1B681b7z8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AF47EAB3D806AD40275A5FAF54A8573A36DD40E1F0212E5524DB7A491EF25F45D2BCCE2CA03F85A5746E0Cg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0DD3961C5253934CFD98C74CD330DA8B03A20AAB7D31CFB1EE44460E5C5A69A54BF069BAE421B5C1B681b7z8I" TargetMode="External"/><Relationship Id="rId10" Type="http://schemas.openxmlformats.org/officeDocument/2006/relationships/hyperlink" Target="consultantplus://offline/ref=C1AF47EAB3D806AD40275A5FAF54A8573A36DD40E1F0212E5524DB7A491EF25F45D2BCCE2CA03F85A5746E0CgB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1AF47EAB3D806AD40275A5FAF54A8573A36DD40E1F0212E5524DB7A491EF25F45D2BCCE2CA03F85A5746E0C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25405-0153-4FF8-9C92-53F2B494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5</cp:revision>
  <cp:lastPrinted>2014-04-17T07:23:00Z</cp:lastPrinted>
  <dcterms:created xsi:type="dcterms:W3CDTF">2014-04-17T06:36:00Z</dcterms:created>
  <dcterms:modified xsi:type="dcterms:W3CDTF">2014-05-23T12:42:00Z</dcterms:modified>
</cp:coreProperties>
</file>