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78" w:rsidRPr="001E4B39" w:rsidRDefault="00804E78" w:rsidP="00804E78">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Утверждены</w:t>
      </w:r>
      <w:proofErr w:type="gramEnd"/>
      <w:r w:rsidRPr="001E4B39">
        <w:rPr>
          <w:rFonts w:ascii="Times New Roman" w:hAnsi="Times New Roman" w:cs="Times New Roman"/>
          <w:sz w:val="24"/>
          <w:szCs w:val="24"/>
        </w:rPr>
        <w:t xml:space="preserve"> приказом начальника</w:t>
      </w:r>
    </w:p>
    <w:p w:rsidR="00804E78" w:rsidRPr="00D62831" w:rsidRDefault="00804E78" w:rsidP="00804E78">
      <w:pPr>
        <w:spacing w:after="0" w:line="240" w:lineRule="auto"/>
        <w:ind w:left="1416"/>
        <w:jc w:val="right"/>
        <w:rPr>
          <w:rFonts w:ascii="Times New Roman" w:hAnsi="Times New Roman" w:cs="Times New Roman"/>
          <w:sz w:val="24"/>
          <w:szCs w:val="24"/>
        </w:rPr>
      </w:pP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00D62831">
        <w:rPr>
          <w:rFonts w:ascii="Times New Roman" w:hAnsi="Times New Roman" w:cs="Times New Roman"/>
          <w:sz w:val="24"/>
          <w:szCs w:val="24"/>
        </w:rPr>
        <w:t xml:space="preserve">управления жилищной политики и ипотечного кредитования </w:t>
      </w:r>
      <w:r w:rsidR="00D62831">
        <w:rPr>
          <w:rFonts w:ascii="Times New Roman" w:hAnsi="Times New Roman" w:cs="Times New Roman"/>
          <w:sz w:val="24"/>
          <w:szCs w:val="24"/>
        </w:rPr>
        <w:tab/>
      </w:r>
    </w:p>
    <w:p w:rsidR="00804E78" w:rsidRPr="001E4B39" w:rsidRDefault="00804E78" w:rsidP="00804E78">
      <w:pPr>
        <w:spacing w:after="0" w:line="240" w:lineRule="auto"/>
        <w:ind w:left="1416"/>
        <w:jc w:val="right"/>
        <w:rPr>
          <w:rFonts w:ascii="Times New Roman" w:hAnsi="Times New Roman" w:cs="Times New Roman"/>
          <w:sz w:val="24"/>
          <w:szCs w:val="24"/>
        </w:rPr>
      </w:pP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t xml:space="preserve">Администрации города Иванова  </w:t>
      </w:r>
    </w:p>
    <w:p w:rsidR="00804E78" w:rsidRPr="001E4B39" w:rsidRDefault="00804E78" w:rsidP="00804E78">
      <w:pPr>
        <w:jc w:val="right"/>
        <w:rPr>
          <w:rFonts w:ascii="Times New Roman" w:hAnsi="Times New Roman" w:cs="Times New Roman"/>
          <w:sz w:val="24"/>
          <w:szCs w:val="24"/>
        </w:rPr>
      </w:pP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t xml:space="preserve">от   </w:t>
      </w:r>
      <w:r w:rsidR="00892439">
        <w:rPr>
          <w:rFonts w:ascii="Times New Roman" w:hAnsi="Times New Roman" w:cs="Times New Roman"/>
          <w:sz w:val="24"/>
          <w:szCs w:val="24"/>
        </w:rPr>
        <w:t>29</w:t>
      </w:r>
      <w:r w:rsidR="00DD3F74">
        <w:rPr>
          <w:rFonts w:ascii="Times New Roman" w:hAnsi="Times New Roman" w:cs="Times New Roman"/>
          <w:sz w:val="24"/>
          <w:szCs w:val="24"/>
        </w:rPr>
        <w:t xml:space="preserve"> </w:t>
      </w:r>
      <w:r w:rsidR="00D34766">
        <w:rPr>
          <w:rFonts w:ascii="Times New Roman" w:hAnsi="Times New Roman" w:cs="Times New Roman"/>
          <w:sz w:val="24"/>
          <w:szCs w:val="24"/>
        </w:rPr>
        <w:t xml:space="preserve"> декабря  2022 </w:t>
      </w:r>
      <w:r w:rsidRPr="001E4B39">
        <w:rPr>
          <w:rFonts w:ascii="Times New Roman" w:hAnsi="Times New Roman" w:cs="Times New Roman"/>
          <w:sz w:val="24"/>
          <w:szCs w:val="24"/>
        </w:rPr>
        <w:t xml:space="preserve">г.  </w:t>
      </w:r>
      <w:r w:rsidR="00DD3F74">
        <w:rPr>
          <w:rFonts w:ascii="Times New Roman" w:hAnsi="Times New Roman" w:cs="Times New Roman"/>
          <w:sz w:val="24"/>
          <w:szCs w:val="24"/>
        </w:rPr>
        <w:t xml:space="preserve">№ </w:t>
      </w:r>
      <w:r w:rsidR="00892439">
        <w:rPr>
          <w:rFonts w:ascii="Times New Roman" w:hAnsi="Times New Roman" w:cs="Times New Roman"/>
          <w:sz w:val="24"/>
          <w:szCs w:val="24"/>
        </w:rPr>
        <w:t>01-04-</w:t>
      </w:r>
      <w:r w:rsidR="00D34766">
        <w:rPr>
          <w:rFonts w:ascii="Times New Roman" w:hAnsi="Times New Roman" w:cs="Times New Roman"/>
          <w:sz w:val="24"/>
          <w:szCs w:val="24"/>
        </w:rPr>
        <w:t>73</w:t>
      </w:r>
    </w:p>
    <w:p w:rsidR="00804E78" w:rsidRPr="001E4B39" w:rsidRDefault="00804E78" w:rsidP="00804E78">
      <w:pPr>
        <w:spacing w:after="0"/>
        <w:ind w:left="709"/>
        <w:jc w:val="center"/>
        <w:rPr>
          <w:rFonts w:ascii="Times New Roman" w:hAnsi="Times New Roman" w:cs="Times New Roman"/>
          <w:b/>
          <w:sz w:val="28"/>
          <w:szCs w:val="28"/>
        </w:rPr>
      </w:pPr>
      <w:r>
        <w:rPr>
          <w:rFonts w:ascii="Times New Roman" w:hAnsi="Times New Roman" w:cs="Times New Roman"/>
          <w:b/>
          <w:sz w:val="28"/>
          <w:szCs w:val="28"/>
        </w:rPr>
        <w:t>Основные положения учетной политики</w:t>
      </w:r>
    </w:p>
    <w:p w:rsidR="009E79CD" w:rsidRDefault="009E79CD" w:rsidP="00804E78">
      <w:pPr>
        <w:spacing w:after="0"/>
        <w:ind w:left="-426" w:firstLine="1135"/>
        <w:jc w:val="center"/>
        <w:rPr>
          <w:rFonts w:ascii="Times New Roman" w:hAnsi="Times New Roman" w:cs="Times New Roman"/>
          <w:b/>
          <w:sz w:val="24"/>
          <w:szCs w:val="24"/>
        </w:rPr>
      </w:pPr>
      <w:r>
        <w:rPr>
          <w:rFonts w:ascii="Times New Roman" w:hAnsi="Times New Roman" w:cs="Times New Roman"/>
          <w:b/>
          <w:sz w:val="24"/>
          <w:szCs w:val="24"/>
        </w:rPr>
        <w:t>Управления жилищной политики и ипотечного кредитования</w:t>
      </w:r>
    </w:p>
    <w:p w:rsidR="00804E78" w:rsidRDefault="00804E78" w:rsidP="00804E78">
      <w:pPr>
        <w:spacing w:after="0"/>
        <w:ind w:left="-426" w:firstLine="1135"/>
        <w:jc w:val="center"/>
        <w:rPr>
          <w:rFonts w:ascii="Times New Roman" w:hAnsi="Times New Roman" w:cs="Times New Roman"/>
          <w:b/>
          <w:sz w:val="24"/>
          <w:szCs w:val="24"/>
        </w:rPr>
      </w:pPr>
      <w:r w:rsidRPr="001E4B39">
        <w:rPr>
          <w:rFonts w:ascii="Times New Roman" w:hAnsi="Times New Roman" w:cs="Times New Roman"/>
          <w:b/>
          <w:sz w:val="24"/>
          <w:szCs w:val="24"/>
        </w:rPr>
        <w:t xml:space="preserve"> Администрации города Иванова</w:t>
      </w:r>
    </w:p>
    <w:p w:rsidR="00091F0A" w:rsidRDefault="005105D4" w:rsidP="0089243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 274н, представляется информация об учетной политике </w:t>
      </w:r>
      <w:r w:rsidR="00892439" w:rsidRPr="00892439">
        <w:rPr>
          <w:rFonts w:ascii="Times New Roman" w:hAnsi="Times New Roman" w:cs="Times New Roman"/>
          <w:sz w:val="24"/>
          <w:szCs w:val="24"/>
        </w:rPr>
        <w:t xml:space="preserve">управления жилищной политики и ипотечного кредитования </w:t>
      </w:r>
      <w:r w:rsidR="00892439" w:rsidRPr="00892439">
        <w:rPr>
          <w:rFonts w:ascii="Times New Roman" w:hAnsi="Times New Roman" w:cs="Times New Roman"/>
          <w:sz w:val="24"/>
          <w:szCs w:val="24"/>
        </w:rPr>
        <w:tab/>
        <w:t>Администрации города Иванова  от   29  декабря  202</w:t>
      </w:r>
      <w:r w:rsidR="00D34766">
        <w:rPr>
          <w:rFonts w:ascii="Times New Roman" w:hAnsi="Times New Roman" w:cs="Times New Roman"/>
          <w:sz w:val="24"/>
          <w:szCs w:val="24"/>
        </w:rPr>
        <w:t>2</w:t>
      </w:r>
      <w:r w:rsidR="00892439" w:rsidRPr="00892439">
        <w:rPr>
          <w:rFonts w:ascii="Times New Roman" w:hAnsi="Times New Roman" w:cs="Times New Roman"/>
          <w:sz w:val="24"/>
          <w:szCs w:val="24"/>
        </w:rPr>
        <w:t>г.  № 01-04-</w:t>
      </w:r>
      <w:r w:rsidR="00D34766">
        <w:rPr>
          <w:rFonts w:ascii="Times New Roman" w:hAnsi="Times New Roman" w:cs="Times New Roman"/>
          <w:sz w:val="24"/>
          <w:szCs w:val="24"/>
        </w:rPr>
        <w:t>73</w:t>
      </w:r>
      <w:r w:rsidR="002B1E13">
        <w:rPr>
          <w:rFonts w:ascii="Times New Roman" w:hAnsi="Times New Roman" w:cs="Times New Roman"/>
          <w:sz w:val="24"/>
          <w:szCs w:val="24"/>
        </w:rPr>
        <w:t>.</w:t>
      </w:r>
    </w:p>
    <w:p w:rsidR="002B1E13" w:rsidRDefault="002B1E13" w:rsidP="005105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Учетная политика разработана в соответствии с нормативными правовыми актами Российской Федерации, содержащими правовые основы организации и </w:t>
      </w:r>
      <w:r w:rsidR="005F5C0B">
        <w:rPr>
          <w:rFonts w:ascii="Times New Roman" w:hAnsi="Times New Roman" w:cs="Times New Roman"/>
          <w:sz w:val="24"/>
          <w:szCs w:val="24"/>
        </w:rPr>
        <w:t>ведения бюджетного учета и пред</w:t>
      </w:r>
      <w:r>
        <w:rPr>
          <w:rFonts w:ascii="Times New Roman" w:hAnsi="Times New Roman" w:cs="Times New Roman"/>
          <w:sz w:val="24"/>
          <w:szCs w:val="24"/>
        </w:rPr>
        <w:t>ставления отчетности</w:t>
      </w:r>
      <w:r w:rsidR="004246BA">
        <w:rPr>
          <w:rFonts w:ascii="Times New Roman" w:hAnsi="Times New Roman" w:cs="Times New Roman"/>
          <w:sz w:val="24"/>
          <w:szCs w:val="24"/>
        </w:rPr>
        <w:t>, в том числе:</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Бюджетный кодекс РФ</w:t>
      </w:r>
      <w:r w:rsidRPr="00D34766">
        <w:rPr>
          <w:rFonts w:ascii="Times New Roman" w:hAnsi="Times New Roman" w:cs="Times New Roman"/>
          <w:sz w:val="24"/>
          <w:szCs w:val="24"/>
        </w:rPr>
        <w:t>;</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w:t>
      </w:r>
      <w:r w:rsidRPr="00D34766">
        <w:rPr>
          <w:rFonts w:ascii="Times New Roman" w:hAnsi="Times New Roman" w:cs="Times New Roman"/>
          <w:sz w:val="24"/>
          <w:szCs w:val="24"/>
        </w:rPr>
        <w:tab/>
        <w:t>Федеральный закон от 06.12.2011 № 402-ФЗ "О бухгалтерском учете";</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w:t>
      </w:r>
      <w:r w:rsidRPr="00D34766">
        <w:rPr>
          <w:rFonts w:ascii="Times New Roman" w:hAnsi="Times New Roman" w:cs="Times New Roman"/>
          <w:sz w:val="24"/>
          <w:szCs w:val="24"/>
        </w:rPr>
        <w:tab/>
        <w:t>Федеральный закон от 12.01.1996 № 7-ФЗ "О некоммерческих организациях";</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4.</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5.</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6.</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"Аренда", утвержденный Приказом Минфина России от 31.12.2016 № 258н;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7.</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8.</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9.</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10.</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11.</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12.</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"Доходы", утвержденный Приказом Минфина России от 27.02.2018 № 32н;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lastRenderedPageBreak/>
        <w:t>13.</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14.</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15.</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16.</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17.</w:t>
      </w:r>
      <w:r w:rsidRPr="00D34766">
        <w:rPr>
          <w:rFonts w:ascii="Times New Roman" w:hAnsi="Times New Roman" w:cs="Times New Roman"/>
          <w:sz w:val="24"/>
          <w:szCs w:val="24"/>
        </w:rPr>
        <w:tab/>
        <w:t xml:space="preserve">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D34766">
        <w:rPr>
          <w:rFonts w:ascii="Times New Roman" w:hAnsi="Times New Roman" w:cs="Times New Roman"/>
          <w:sz w:val="24"/>
          <w:szCs w:val="24"/>
        </w:rPr>
        <w:t>утвержденный</w:t>
      </w:r>
      <w:proofErr w:type="gramEnd"/>
      <w:r w:rsidRPr="00D34766">
        <w:rPr>
          <w:rFonts w:ascii="Times New Roman" w:hAnsi="Times New Roman" w:cs="Times New Roman"/>
          <w:sz w:val="24"/>
          <w:szCs w:val="24"/>
        </w:rPr>
        <w:t xml:space="preserve"> Приказом Минфина России от 30.05.2018 № 124н;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18.</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19.</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"Запасы", утвержденный Приказом Минфина России от 07.12.2018 № 256н;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20.</w:t>
      </w:r>
      <w:r w:rsidRPr="00D34766">
        <w:rPr>
          <w:rFonts w:ascii="Times New Roman" w:hAnsi="Times New Roman" w:cs="Times New Roman"/>
          <w:sz w:val="24"/>
          <w:szCs w:val="24"/>
        </w:rPr>
        <w:tab/>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21.</w:t>
      </w:r>
      <w:r w:rsidRPr="00D34766">
        <w:rPr>
          <w:rFonts w:ascii="Times New Roman" w:hAnsi="Times New Roman" w:cs="Times New Roman"/>
          <w:sz w:val="24"/>
          <w:szCs w:val="24"/>
        </w:rPr>
        <w:tab/>
        <w:t>Федеральный стандарт бухгалтерского учета государственных финансов "Нематериальные активы", утвержденный Приказом Минфина России от 15.11.2019 № 181н;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22.</w:t>
      </w:r>
      <w:r w:rsidRPr="00D34766">
        <w:rPr>
          <w:rFonts w:ascii="Times New Roman" w:hAnsi="Times New Roman" w:cs="Times New Roman"/>
          <w:sz w:val="24"/>
          <w:szCs w:val="24"/>
        </w:rPr>
        <w:tab/>
        <w:t>Федеральный стандарт бухгалтерского учета государственных финансов "Выплаты персоналу", утвержденный Приказом Минфина России от 15.11.2019 № 184н;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23.</w:t>
      </w:r>
      <w:r w:rsidRPr="00D34766">
        <w:rPr>
          <w:rFonts w:ascii="Times New Roman" w:hAnsi="Times New Roman" w:cs="Times New Roman"/>
          <w:sz w:val="24"/>
          <w:szCs w:val="24"/>
        </w:rPr>
        <w:tab/>
        <w:t>Федеральный стандарт бухгалтерского учета государственных финансов "Финансовые инструменты", утвержденный Приказом Минфина России от 30.06.2020 № 129н;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24.</w:t>
      </w:r>
      <w:r w:rsidRPr="00D34766">
        <w:rPr>
          <w:rFonts w:ascii="Times New Roman" w:hAnsi="Times New Roman" w:cs="Times New Roman"/>
          <w:sz w:val="24"/>
          <w:szCs w:val="24"/>
        </w:rPr>
        <w:tab/>
        <w:t>Федеральный стандарт бухгалтерского учета государственных финансов "Метод долевого участия", утвержденный Приказом Минфина России от 30.10.2020 № 254н;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25.</w:t>
      </w:r>
      <w:r w:rsidRPr="00D34766">
        <w:rPr>
          <w:rFonts w:ascii="Times New Roman" w:hAnsi="Times New Roman" w:cs="Times New Roman"/>
          <w:sz w:val="24"/>
          <w:szCs w:val="24"/>
        </w:rPr>
        <w:tab/>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26.</w:t>
      </w:r>
      <w:r w:rsidRPr="00D34766">
        <w:rPr>
          <w:rFonts w:ascii="Times New Roman" w:hAnsi="Times New Roman" w:cs="Times New Roman"/>
          <w:sz w:val="24"/>
          <w:szCs w:val="24"/>
        </w:rPr>
        <w:tab/>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27.</w:t>
      </w:r>
      <w:r w:rsidRPr="00D34766">
        <w:rPr>
          <w:rFonts w:ascii="Times New Roman" w:hAnsi="Times New Roman" w:cs="Times New Roman"/>
          <w:sz w:val="24"/>
          <w:szCs w:val="24"/>
        </w:rPr>
        <w:tab/>
        <w:t>План счетов бюджетного учета, утвержденный Приказом Минфина России от 06.12.2010 № 162н;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28.</w:t>
      </w:r>
      <w:r w:rsidRPr="00D34766">
        <w:rPr>
          <w:rFonts w:ascii="Times New Roman" w:hAnsi="Times New Roman" w:cs="Times New Roman"/>
          <w:sz w:val="24"/>
          <w:szCs w:val="24"/>
        </w:rPr>
        <w:tab/>
        <w:t>Инструкция по применению Плана счетов бюджетного учета, утвержденная Приказом Минфина России от 06.12.2010 № 162н;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lastRenderedPageBreak/>
        <w:t>29.</w:t>
      </w:r>
      <w:r w:rsidRPr="00D34766">
        <w:rPr>
          <w:rFonts w:ascii="Times New Roman" w:hAnsi="Times New Roman" w:cs="Times New Roman"/>
          <w:sz w:val="24"/>
          <w:szCs w:val="24"/>
        </w:rPr>
        <w:tab/>
      </w:r>
      <w:proofErr w:type="gramStart"/>
      <w:r w:rsidRPr="00D34766">
        <w:rPr>
          <w:rFonts w:ascii="Times New Roman" w:hAnsi="Times New Roman" w:cs="Times New Roman"/>
          <w:sz w:val="24"/>
          <w:szCs w:val="24"/>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w:t>
      </w:r>
      <w:proofErr w:type="gramEnd"/>
      <w:r w:rsidRPr="00D34766">
        <w:rPr>
          <w:rFonts w:ascii="Times New Roman" w:hAnsi="Times New Roman" w:cs="Times New Roman"/>
          <w:sz w:val="24"/>
          <w:szCs w:val="24"/>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30.</w:t>
      </w:r>
      <w:r w:rsidRPr="00D34766">
        <w:rPr>
          <w:rFonts w:ascii="Times New Roman" w:hAnsi="Times New Roman" w:cs="Times New Roman"/>
          <w:sz w:val="24"/>
          <w:szCs w:val="24"/>
        </w:rPr>
        <w:tab/>
      </w:r>
      <w:proofErr w:type="gramStart"/>
      <w:r w:rsidRPr="00D34766">
        <w:rPr>
          <w:rFonts w:ascii="Times New Roman" w:hAnsi="Times New Roman" w:cs="Times New Roman"/>
          <w:sz w:val="24"/>
          <w:szCs w:val="24"/>
        </w:rP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 включая Приложение №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D34766">
        <w:rPr>
          <w:rFonts w:ascii="Times New Roman" w:hAnsi="Times New Roman" w:cs="Times New Roman"/>
          <w:sz w:val="24"/>
          <w:szCs w:val="24"/>
        </w:rPr>
        <w:t>) учреждений;</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31.</w:t>
      </w:r>
      <w:r w:rsidRPr="00D34766">
        <w:rPr>
          <w:rFonts w:ascii="Times New Roman" w:hAnsi="Times New Roman" w:cs="Times New Roman"/>
          <w:sz w:val="24"/>
          <w:szCs w:val="24"/>
        </w:rPr>
        <w:tab/>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32.</w:t>
      </w:r>
      <w:r w:rsidRPr="00D34766">
        <w:rPr>
          <w:rFonts w:ascii="Times New Roman" w:hAnsi="Times New Roman" w:cs="Times New Roman"/>
          <w:sz w:val="24"/>
          <w:szCs w:val="24"/>
        </w:rPr>
        <w:tab/>
        <w:t>Указание Банка России от 09.12.2019 № 5348-У "О правилах наличных расчетов";</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33.</w:t>
      </w:r>
      <w:r w:rsidRPr="00D34766">
        <w:rPr>
          <w:rFonts w:ascii="Times New Roman" w:hAnsi="Times New Roman" w:cs="Times New Roman"/>
          <w:sz w:val="24"/>
          <w:szCs w:val="24"/>
        </w:rPr>
        <w:tab/>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34.</w:t>
      </w:r>
      <w:r w:rsidRPr="00D34766">
        <w:rPr>
          <w:rFonts w:ascii="Times New Roman" w:hAnsi="Times New Roman" w:cs="Times New Roman"/>
          <w:sz w:val="24"/>
          <w:szCs w:val="24"/>
        </w:rPr>
        <w:tab/>
        <w:t>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35.</w:t>
      </w:r>
      <w:r w:rsidRPr="00D34766">
        <w:rPr>
          <w:rFonts w:ascii="Times New Roman" w:hAnsi="Times New Roman" w:cs="Times New Roman"/>
          <w:sz w:val="24"/>
          <w:szCs w:val="24"/>
        </w:rPr>
        <w:tab/>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36.</w:t>
      </w:r>
      <w:r w:rsidRPr="00D34766">
        <w:rPr>
          <w:rFonts w:ascii="Times New Roman" w:hAnsi="Times New Roman" w:cs="Times New Roman"/>
          <w:sz w:val="24"/>
          <w:szCs w:val="24"/>
        </w:rPr>
        <w:tab/>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D34766" w:rsidRP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37.</w:t>
      </w:r>
      <w:r w:rsidRPr="00D34766">
        <w:rPr>
          <w:rFonts w:ascii="Times New Roman" w:hAnsi="Times New Roman" w:cs="Times New Roman"/>
          <w:sz w:val="24"/>
          <w:szCs w:val="24"/>
        </w:rPr>
        <w:tab/>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w:t>
      </w:r>
    </w:p>
    <w:p w:rsidR="00D34766" w:rsidRDefault="00D34766" w:rsidP="00D34766">
      <w:pPr>
        <w:tabs>
          <w:tab w:val="left" w:pos="993"/>
        </w:tabs>
        <w:spacing w:after="0"/>
        <w:ind w:firstLine="567"/>
        <w:jc w:val="both"/>
        <w:rPr>
          <w:rFonts w:ascii="Times New Roman" w:hAnsi="Times New Roman" w:cs="Times New Roman"/>
          <w:sz w:val="24"/>
          <w:szCs w:val="24"/>
        </w:rPr>
      </w:pPr>
      <w:r w:rsidRPr="00D34766">
        <w:rPr>
          <w:rFonts w:ascii="Times New Roman" w:hAnsi="Times New Roman" w:cs="Times New Roman"/>
          <w:sz w:val="24"/>
          <w:szCs w:val="24"/>
        </w:rPr>
        <w:t>38.</w:t>
      </w:r>
      <w:r w:rsidRPr="00D34766">
        <w:rPr>
          <w:rFonts w:ascii="Times New Roman" w:hAnsi="Times New Roman" w:cs="Times New Roman"/>
          <w:sz w:val="24"/>
          <w:szCs w:val="24"/>
        </w:rPr>
        <w:tab/>
        <w:t>Порядок применения классификации операций сектора государственного управления, утвержденный Приказом Минфина России от 29.11.2017 № 209н.</w:t>
      </w:r>
    </w:p>
    <w:p w:rsidR="00DB349A" w:rsidRDefault="00DB349A" w:rsidP="00D34766">
      <w:pPr>
        <w:tabs>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Учетная политика состоит из следующих разделов:</w:t>
      </w:r>
    </w:p>
    <w:tbl>
      <w:tblPr>
        <w:tblStyle w:val="a3"/>
        <w:tblW w:w="0" w:type="auto"/>
        <w:tblInd w:w="-426" w:type="dxa"/>
        <w:tblLayout w:type="fixed"/>
        <w:tblLook w:val="04A0" w:firstRow="1" w:lastRow="0" w:firstColumn="1" w:lastColumn="0" w:noHBand="0" w:noVBand="1"/>
      </w:tblPr>
      <w:tblGrid>
        <w:gridCol w:w="2944"/>
        <w:gridCol w:w="6946"/>
      </w:tblGrid>
      <w:tr w:rsidR="00890B1B" w:rsidTr="00890B1B">
        <w:tc>
          <w:tcPr>
            <w:tcW w:w="2944" w:type="dxa"/>
          </w:tcPr>
          <w:p w:rsidR="00890B1B" w:rsidRDefault="00890B1B" w:rsidP="00091F0A">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w:t>
            </w:r>
          </w:p>
        </w:tc>
        <w:tc>
          <w:tcPr>
            <w:tcW w:w="6946" w:type="dxa"/>
          </w:tcPr>
          <w:p w:rsidR="00890B1B" w:rsidRDefault="00890B1B" w:rsidP="00091F0A">
            <w:pPr>
              <w:jc w:val="center"/>
              <w:rPr>
                <w:rFonts w:ascii="Times New Roman" w:hAnsi="Times New Roman" w:cs="Times New Roman"/>
                <w:sz w:val="24"/>
                <w:szCs w:val="24"/>
              </w:rPr>
            </w:pPr>
            <w:r>
              <w:rPr>
                <w:rFonts w:ascii="Times New Roman" w:hAnsi="Times New Roman" w:cs="Times New Roman"/>
                <w:sz w:val="24"/>
                <w:szCs w:val="24"/>
              </w:rPr>
              <w:t>Основные положения</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BA483B">
              <w:rPr>
                <w:rFonts w:ascii="Times New Roman" w:hAnsi="Times New Roman" w:cs="Times New Roman"/>
                <w:sz w:val="24"/>
                <w:szCs w:val="24"/>
              </w:rPr>
              <w:t>Организационные положения</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Раздел определяет:</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-обязанности по организации ведения бюджетного учета в Управлении;</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color w:val="000000"/>
                <w:sz w:val="24"/>
                <w:lang w:eastAsia="ar-SA"/>
              </w:rPr>
              <w:t xml:space="preserve"> право подписи первичных учетных документов, денежных и </w:t>
            </w:r>
            <w:r>
              <w:rPr>
                <w:rFonts w:ascii="Times New Roman" w:eastAsia="Times New Roman" w:hAnsi="Times New Roman" w:cs="Times New Roman"/>
                <w:color w:val="000000"/>
                <w:sz w:val="24"/>
                <w:lang w:eastAsia="ar-SA"/>
              </w:rPr>
              <w:lastRenderedPageBreak/>
              <w:t>расчетных документов, финансовых обязательств</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хранения</w:t>
            </w:r>
            <w:r>
              <w:t xml:space="preserve"> </w:t>
            </w:r>
            <w:r w:rsidRPr="00453ED9">
              <w:rPr>
                <w:rFonts w:ascii="Times New Roman" w:hAnsi="Times New Roman" w:cs="Times New Roman"/>
                <w:sz w:val="24"/>
                <w:szCs w:val="24"/>
              </w:rPr>
              <w:t>первичных учетных документов, регистров бюджетного учета, бюджетной  отчетности</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-график документооборота;</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организации и осуществления внутреннего финансового контроля;</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-рабочий план</w:t>
            </w:r>
            <w:r w:rsidRPr="002000CE">
              <w:rPr>
                <w:rFonts w:ascii="Times New Roman" w:hAnsi="Times New Roman" w:cs="Times New Roman"/>
                <w:sz w:val="24"/>
                <w:szCs w:val="24"/>
              </w:rPr>
              <w:t xml:space="preserve"> сче</w:t>
            </w:r>
            <w:r>
              <w:rPr>
                <w:rFonts w:ascii="Times New Roman" w:hAnsi="Times New Roman" w:cs="Times New Roman"/>
                <w:sz w:val="24"/>
                <w:szCs w:val="24"/>
              </w:rPr>
              <w:t>тов бюджетного учета, содержащий</w:t>
            </w:r>
            <w:r w:rsidRPr="002000CE">
              <w:rPr>
                <w:rFonts w:ascii="Times New Roman" w:hAnsi="Times New Roman" w:cs="Times New Roman"/>
                <w:sz w:val="24"/>
                <w:szCs w:val="24"/>
              </w:rPr>
              <w:t xml:space="preserve"> применяемые счета бюджетного учета для ведения синтетического и аналитического учета</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w:t>
            </w:r>
            <w:r w:rsidRPr="002000CE">
              <w:rPr>
                <w:rFonts w:ascii="Times New Roman" w:hAnsi="Times New Roman" w:cs="Times New Roman"/>
                <w:sz w:val="24"/>
                <w:szCs w:val="24"/>
              </w:rPr>
              <w:t>ериодичность формирования первичных учетных документов и регистров бюджетного учета на бумажных носителях</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w:t>
            </w:r>
            <w:r w:rsidRPr="002000CE">
              <w:rPr>
                <w:rFonts w:ascii="Times New Roman" w:hAnsi="Times New Roman" w:cs="Times New Roman"/>
                <w:sz w:val="24"/>
                <w:szCs w:val="24"/>
              </w:rPr>
              <w:t>еречень первичных учетных документов и регистров бюджетного учета, подлежащих хранению в электронном виде</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-оформление и учет кассовых операций;</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-порядок проведения инвентаризации активов и обязательств Управления;</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-порядок</w:t>
            </w:r>
            <w:r w:rsidRPr="002000CE">
              <w:rPr>
                <w:rFonts w:ascii="Times New Roman" w:hAnsi="Times New Roman" w:cs="Times New Roman"/>
                <w:sz w:val="24"/>
                <w:szCs w:val="24"/>
              </w:rPr>
              <w:t xml:space="preserve"> признания в бюджетном учете и раскрытия в бюджетной  отчетности событий после отчетной даты</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-состав и полномочия постоянно действующей Комиссии по поступлению и выбытию активов.</w:t>
            </w:r>
          </w:p>
        </w:tc>
      </w:tr>
      <w:tr w:rsidR="00890B1B" w:rsidTr="00890B1B">
        <w:tc>
          <w:tcPr>
            <w:tcW w:w="2944"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1D658B">
              <w:rPr>
                <w:rFonts w:ascii="Times New Roman" w:hAnsi="Times New Roman" w:cs="Times New Roman"/>
                <w:sz w:val="24"/>
                <w:szCs w:val="24"/>
              </w:rPr>
              <w:t>сновны</w:t>
            </w:r>
            <w:r>
              <w:rPr>
                <w:rFonts w:ascii="Times New Roman" w:hAnsi="Times New Roman" w:cs="Times New Roman"/>
                <w:sz w:val="24"/>
                <w:szCs w:val="24"/>
              </w:rPr>
              <w:t>е</w:t>
            </w:r>
            <w:r w:rsidRPr="001D658B">
              <w:rPr>
                <w:rFonts w:ascii="Times New Roman" w:hAnsi="Times New Roman" w:cs="Times New Roman"/>
                <w:sz w:val="24"/>
                <w:szCs w:val="24"/>
              </w:rPr>
              <w:t xml:space="preserve"> средств</w:t>
            </w:r>
            <w:r>
              <w:rPr>
                <w:rFonts w:ascii="Times New Roman" w:hAnsi="Times New Roman" w:cs="Times New Roman"/>
                <w:sz w:val="24"/>
                <w:szCs w:val="24"/>
              </w:rPr>
              <w:t>а</w:t>
            </w:r>
            <w:r w:rsidRPr="001D658B">
              <w:rPr>
                <w:rFonts w:ascii="Times New Roman" w:hAnsi="Times New Roman" w:cs="Times New Roman"/>
                <w:sz w:val="24"/>
                <w:szCs w:val="24"/>
              </w:rPr>
              <w:t xml:space="preserve">  </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3527D7">
              <w:rPr>
                <w:rFonts w:ascii="Times New Roman" w:hAnsi="Times New Roman" w:cs="Times New Roman"/>
                <w:sz w:val="24"/>
                <w:szCs w:val="24"/>
              </w:rPr>
              <w:t>аздел определяет</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формирования инвентарного номера объекта основных средств;</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-метод начисления амортизации;</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списания имущества, порядок прекращения признания объекта основных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актива;</w:t>
            </w:r>
          </w:p>
          <w:p w:rsidR="00890B1B" w:rsidRDefault="00890B1B" w:rsidP="001D658B">
            <w:pPr>
              <w:jc w:val="both"/>
              <w:rPr>
                <w:rFonts w:ascii="Times New Roman" w:hAnsi="Times New Roman" w:cs="Times New Roman"/>
                <w:sz w:val="24"/>
                <w:szCs w:val="24"/>
              </w:rPr>
            </w:pPr>
            <w:r>
              <w:rPr>
                <w:rFonts w:ascii="Times New Roman" w:hAnsi="Times New Roman" w:cs="Times New Roman"/>
                <w:sz w:val="24"/>
                <w:szCs w:val="24"/>
              </w:rPr>
              <w:t xml:space="preserve">-порядок определения </w:t>
            </w:r>
            <w:r>
              <w:rPr>
                <w:rFonts w:ascii="Times New Roman" w:eastAsia="Times New Roman" w:hAnsi="Times New Roman" w:cs="Times New Roman"/>
                <w:color w:val="000000"/>
                <w:sz w:val="24"/>
                <w:lang w:eastAsia="ar-SA"/>
              </w:rPr>
              <w:t>инвентарного объекта</w:t>
            </w:r>
            <w:r>
              <w:rPr>
                <w:rFonts w:ascii="Times New Roman" w:hAnsi="Times New Roman" w:cs="Times New Roman"/>
                <w:sz w:val="24"/>
                <w:szCs w:val="24"/>
              </w:rPr>
              <w:t>.</w:t>
            </w:r>
          </w:p>
        </w:tc>
      </w:tr>
      <w:tr w:rsidR="00890B1B" w:rsidTr="00890B1B">
        <w:tc>
          <w:tcPr>
            <w:tcW w:w="2944" w:type="dxa"/>
          </w:tcPr>
          <w:p w:rsidR="00890B1B" w:rsidRPr="00BB294F" w:rsidRDefault="00890B1B" w:rsidP="00BB294F">
            <w:pPr>
              <w:rPr>
                <w:rFonts w:ascii="Times New Roman" w:hAnsi="Times New Roman" w:cs="Times New Roman"/>
                <w:sz w:val="24"/>
                <w:szCs w:val="24"/>
              </w:rPr>
            </w:pPr>
            <w:r w:rsidRPr="001D658B">
              <w:rPr>
                <w:rFonts w:ascii="Times New Roman" w:hAnsi="Times New Roman" w:cs="Times New Roman"/>
                <w:sz w:val="24"/>
                <w:szCs w:val="24"/>
              </w:rPr>
              <w:t>Нематериальные активы</w:t>
            </w:r>
          </w:p>
        </w:tc>
        <w:tc>
          <w:tcPr>
            <w:tcW w:w="6946" w:type="dxa"/>
          </w:tcPr>
          <w:p w:rsidR="00890B1B" w:rsidRDefault="00890B1B" w:rsidP="00091F0A">
            <w:pPr>
              <w:jc w:val="both"/>
              <w:rPr>
                <w:rFonts w:ascii="Times New Roman" w:hAnsi="Times New Roman" w:cs="Times New Roman"/>
                <w:sz w:val="24"/>
                <w:szCs w:val="24"/>
              </w:rPr>
            </w:pPr>
            <w:r w:rsidRPr="001D658B">
              <w:rPr>
                <w:rFonts w:ascii="Times New Roman" w:hAnsi="Times New Roman" w:cs="Times New Roman"/>
                <w:sz w:val="24"/>
                <w:szCs w:val="24"/>
              </w:rPr>
              <w:t>Раздел определяет:</w:t>
            </w:r>
          </w:p>
          <w:p w:rsidR="00890B1B" w:rsidRPr="00F017AA" w:rsidRDefault="00890B1B" w:rsidP="001D658B">
            <w:pPr>
              <w:jc w:val="both"/>
              <w:rPr>
                <w:rFonts w:ascii="Times New Roman" w:hAnsi="Times New Roman" w:cs="Times New Roman"/>
                <w:sz w:val="24"/>
                <w:szCs w:val="24"/>
              </w:rPr>
            </w:pPr>
            <w:r>
              <w:rPr>
                <w:rFonts w:ascii="Times New Roman" w:hAnsi="Times New Roman" w:cs="Times New Roman"/>
                <w:sz w:val="24"/>
                <w:szCs w:val="24"/>
              </w:rPr>
              <w:t>- порядок учета</w:t>
            </w:r>
            <w:r w:rsidRPr="001D658B">
              <w:rPr>
                <w:rFonts w:ascii="Times New Roman" w:hAnsi="Times New Roman" w:cs="Times New Roman"/>
                <w:sz w:val="24"/>
                <w:szCs w:val="24"/>
              </w:rPr>
              <w:t xml:space="preserve"> объект</w:t>
            </w:r>
            <w:r>
              <w:rPr>
                <w:rFonts w:ascii="Times New Roman" w:hAnsi="Times New Roman" w:cs="Times New Roman"/>
                <w:sz w:val="24"/>
                <w:szCs w:val="24"/>
              </w:rPr>
              <w:t>ов</w:t>
            </w:r>
            <w:r w:rsidRPr="001D658B">
              <w:rPr>
                <w:rFonts w:ascii="Times New Roman" w:hAnsi="Times New Roman" w:cs="Times New Roman"/>
                <w:sz w:val="24"/>
                <w:szCs w:val="24"/>
              </w:rPr>
              <w:t>,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rFonts w:ascii="Times New Roman" w:hAnsi="Times New Roman" w:cs="Times New Roman"/>
                <w:sz w:val="24"/>
                <w:szCs w:val="24"/>
              </w:rPr>
              <w:t>.</w:t>
            </w:r>
          </w:p>
        </w:tc>
      </w:tr>
      <w:tr w:rsidR="00AA0DB4" w:rsidTr="00890B1B">
        <w:tc>
          <w:tcPr>
            <w:tcW w:w="2944" w:type="dxa"/>
          </w:tcPr>
          <w:p w:rsidR="00AA0DB4" w:rsidRPr="00BB294F" w:rsidRDefault="00AA0DB4" w:rsidP="00BB294F">
            <w:pPr>
              <w:rPr>
                <w:rFonts w:ascii="Times New Roman" w:hAnsi="Times New Roman" w:cs="Times New Roman"/>
                <w:sz w:val="24"/>
                <w:szCs w:val="24"/>
              </w:rPr>
            </w:pPr>
            <w:r w:rsidRPr="00AA0DB4">
              <w:rPr>
                <w:rFonts w:ascii="Times New Roman" w:hAnsi="Times New Roman" w:cs="Times New Roman"/>
                <w:sz w:val="24"/>
                <w:szCs w:val="24"/>
              </w:rPr>
              <w:t>Непроизведенные активы</w:t>
            </w:r>
          </w:p>
        </w:tc>
        <w:tc>
          <w:tcPr>
            <w:tcW w:w="6946" w:type="dxa"/>
          </w:tcPr>
          <w:p w:rsidR="00AA0DB4" w:rsidRDefault="00AA0DB4" w:rsidP="00AA0DB4">
            <w:pPr>
              <w:jc w:val="both"/>
              <w:rPr>
                <w:rFonts w:ascii="Times New Roman" w:hAnsi="Times New Roman" w:cs="Times New Roman"/>
                <w:sz w:val="24"/>
                <w:szCs w:val="24"/>
              </w:rPr>
            </w:pPr>
            <w:r>
              <w:rPr>
                <w:rFonts w:ascii="Times New Roman" w:hAnsi="Times New Roman" w:cs="Times New Roman"/>
                <w:sz w:val="24"/>
                <w:szCs w:val="24"/>
              </w:rPr>
              <w:t>Раздел определяет, что непроизводственными активами</w:t>
            </w:r>
            <w:bookmarkStart w:id="0" w:name="_GoBack"/>
            <w:bookmarkEnd w:id="0"/>
            <w:r>
              <w:rPr>
                <w:rFonts w:ascii="Times New Roman" w:hAnsi="Times New Roman" w:cs="Times New Roman"/>
                <w:sz w:val="24"/>
                <w:szCs w:val="24"/>
              </w:rPr>
              <w:t xml:space="preserve"> </w:t>
            </w:r>
            <w:r w:rsidRPr="00AA0DB4">
              <w:rPr>
                <w:rFonts w:ascii="Times New Roman" w:hAnsi="Times New Roman" w:cs="Times New Roman"/>
                <w:sz w:val="24"/>
                <w:szCs w:val="24"/>
              </w:rPr>
              <w:t xml:space="preserve">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AA0DB4" w:rsidRDefault="00AA0DB4" w:rsidP="00091F0A">
            <w:pPr>
              <w:jc w:val="both"/>
              <w:rPr>
                <w:rFonts w:ascii="Times New Roman" w:hAnsi="Times New Roman" w:cs="Times New Roman"/>
                <w:sz w:val="24"/>
                <w:szCs w:val="24"/>
              </w:rPr>
            </w:pPr>
          </w:p>
        </w:tc>
      </w:tr>
      <w:tr w:rsidR="00890B1B" w:rsidTr="00890B1B">
        <w:tc>
          <w:tcPr>
            <w:tcW w:w="2944" w:type="dxa"/>
          </w:tcPr>
          <w:p w:rsidR="00890B1B" w:rsidRPr="00BB294F" w:rsidRDefault="00AA0DB4" w:rsidP="00BB294F">
            <w:pPr>
              <w:rPr>
                <w:rFonts w:ascii="Times New Roman" w:hAnsi="Times New Roman" w:cs="Times New Roman"/>
                <w:sz w:val="24"/>
                <w:szCs w:val="24"/>
              </w:rPr>
            </w:pPr>
            <w:r>
              <w:rPr>
                <w:rFonts w:ascii="Times New Roman" w:hAnsi="Times New Roman" w:cs="Times New Roman"/>
                <w:sz w:val="24"/>
                <w:szCs w:val="24"/>
              </w:rPr>
              <w:t>М</w:t>
            </w:r>
            <w:r w:rsidR="00890B1B" w:rsidRPr="00BB294F">
              <w:rPr>
                <w:rFonts w:ascii="Times New Roman" w:hAnsi="Times New Roman" w:cs="Times New Roman"/>
                <w:sz w:val="24"/>
                <w:szCs w:val="24"/>
              </w:rPr>
              <w:t>атериальны</w:t>
            </w:r>
            <w:r>
              <w:rPr>
                <w:rFonts w:ascii="Times New Roman" w:hAnsi="Times New Roman" w:cs="Times New Roman"/>
                <w:sz w:val="24"/>
                <w:szCs w:val="24"/>
              </w:rPr>
              <w:t>е</w:t>
            </w:r>
            <w:r w:rsidR="00890B1B" w:rsidRPr="00BB294F">
              <w:rPr>
                <w:rFonts w:ascii="Times New Roman" w:hAnsi="Times New Roman" w:cs="Times New Roman"/>
                <w:sz w:val="24"/>
                <w:szCs w:val="24"/>
              </w:rPr>
              <w:t xml:space="preserve"> запас</w:t>
            </w:r>
            <w:r>
              <w:rPr>
                <w:rFonts w:ascii="Times New Roman" w:hAnsi="Times New Roman" w:cs="Times New Roman"/>
                <w:sz w:val="24"/>
                <w:szCs w:val="24"/>
              </w:rPr>
              <w:t>ы</w:t>
            </w:r>
          </w:p>
          <w:p w:rsidR="00890B1B" w:rsidRDefault="00890B1B" w:rsidP="00091F0A">
            <w:pPr>
              <w:jc w:val="both"/>
              <w:rPr>
                <w:rFonts w:ascii="Times New Roman" w:hAnsi="Times New Roman" w:cs="Times New Roman"/>
                <w:sz w:val="24"/>
                <w:szCs w:val="24"/>
              </w:rPr>
            </w:pP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F017AA">
              <w:rPr>
                <w:rFonts w:ascii="Times New Roman" w:hAnsi="Times New Roman" w:cs="Times New Roman"/>
                <w:sz w:val="24"/>
                <w:szCs w:val="24"/>
              </w:rPr>
              <w:t>аздел определяет</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-состав материальных запасов, используемых в деятельности Управления;</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учета поступления и выбытия материальных запасов у ответственных лиц;</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списания материальных запасов.</w:t>
            </w:r>
          </w:p>
        </w:tc>
      </w:tr>
      <w:tr w:rsidR="00890B1B" w:rsidTr="00890B1B">
        <w:tc>
          <w:tcPr>
            <w:tcW w:w="2944" w:type="dxa"/>
          </w:tcPr>
          <w:p w:rsidR="00890B1B" w:rsidRPr="00BB294F" w:rsidRDefault="00890B1B" w:rsidP="00091F0A">
            <w:pPr>
              <w:jc w:val="both"/>
              <w:rPr>
                <w:rFonts w:ascii="Times New Roman" w:hAnsi="Times New Roman" w:cs="Times New Roman"/>
                <w:sz w:val="24"/>
                <w:szCs w:val="24"/>
              </w:rPr>
            </w:pPr>
            <w:r w:rsidRPr="002B4FCC">
              <w:rPr>
                <w:rFonts w:ascii="Times New Roman" w:hAnsi="Times New Roman" w:cs="Times New Roman"/>
                <w:sz w:val="24"/>
                <w:szCs w:val="24"/>
              </w:rPr>
              <w:t>Денежные средства, денежные эквиваленты и денежные документы</w:t>
            </w:r>
          </w:p>
        </w:tc>
        <w:tc>
          <w:tcPr>
            <w:tcW w:w="6946" w:type="dxa"/>
          </w:tcPr>
          <w:p w:rsidR="00890B1B" w:rsidRDefault="00890B1B" w:rsidP="002B4FCC">
            <w:pPr>
              <w:jc w:val="both"/>
              <w:rPr>
                <w:rFonts w:ascii="Times New Roman" w:hAnsi="Times New Roman" w:cs="Times New Roman"/>
                <w:sz w:val="24"/>
                <w:szCs w:val="24"/>
              </w:rPr>
            </w:pPr>
            <w:r>
              <w:rPr>
                <w:rFonts w:ascii="Times New Roman" w:hAnsi="Times New Roman" w:cs="Times New Roman"/>
                <w:sz w:val="24"/>
                <w:szCs w:val="24"/>
              </w:rPr>
              <w:t>Р</w:t>
            </w:r>
            <w:r w:rsidRPr="00F017AA">
              <w:rPr>
                <w:rFonts w:ascii="Times New Roman" w:hAnsi="Times New Roman" w:cs="Times New Roman"/>
                <w:sz w:val="24"/>
                <w:szCs w:val="24"/>
              </w:rPr>
              <w:t>аздел определяет</w:t>
            </w:r>
            <w:r>
              <w:rPr>
                <w:rFonts w:ascii="Times New Roman" w:hAnsi="Times New Roman" w:cs="Times New Roman"/>
                <w:sz w:val="24"/>
                <w:szCs w:val="24"/>
              </w:rPr>
              <w:t>:</w:t>
            </w:r>
          </w:p>
          <w:p w:rsidR="00890B1B" w:rsidRDefault="00890B1B" w:rsidP="002B4FC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color w:val="000000"/>
                <w:sz w:val="24"/>
                <w:lang w:eastAsia="ar-SA"/>
              </w:rPr>
              <w:t xml:space="preserve"> порядком ведения кассовых операций</w:t>
            </w:r>
            <w:r>
              <w:rPr>
                <w:rFonts w:ascii="Times New Roman" w:hAnsi="Times New Roman" w:cs="Times New Roman"/>
                <w:sz w:val="24"/>
                <w:szCs w:val="24"/>
              </w:rPr>
              <w:t>;</w:t>
            </w:r>
          </w:p>
          <w:p w:rsidR="00890B1B" w:rsidRDefault="00890B1B" w:rsidP="002B4FCC">
            <w:pPr>
              <w:jc w:val="both"/>
              <w:rPr>
                <w:rFonts w:ascii="Times New Roman" w:hAnsi="Times New Roman" w:cs="Times New Roman"/>
                <w:sz w:val="24"/>
                <w:szCs w:val="24"/>
              </w:rPr>
            </w:pPr>
            <w:r>
              <w:rPr>
                <w:rFonts w:ascii="Times New Roman" w:hAnsi="Times New Roman" w:cs="Times New Roman"/>
                <w:sz w:val="24"/>
                <w:szCs w:val="24"/>
              </w:rPr>
              <w:t>- порядок учета денежных документов.</w:t>
            </w:r>
          </w:p>
          <w:p w:rsidR="00890B1B" w:rsidRPr="004A05F5" w:rsidRDefault="00890B1B" w:rsidP="00091F0A">
            <w:pPr>
              <w:jc w:val="both"/>
              <w:rPr>
                <w:rFonts w:ascii="Times New Roman" w:hAnsi="Times New Roman" w:cs="Times New Roman"/>
                <w:sz w:val="24"/>
                <w:szCs w:val="24"/>
              </w:rPr>
            </w:pP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2B4FCC">
              <w:rPr>
                <w:rFonts w:ascii="Times New Roman" w:hAnsi="Times New Roman" w:cs="Times New Roman"/>
                <w:sz w:val="24"/>
                <w:szCs w:val="24"/>
              </w:rPr>
              <w:t>Расчеты с дебиторами и кредиторами</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A05F5">
              <w:rPr>
                <w:rFonts w:ascii="Times New Roman" w:hAnsi="Times New Roman" w:cs="Times New Roman"/>
                <w:sz w:val="24"/>
                <w:szCs w:val="24"/>
              </w:rPr>
              <w:t>аздел определяет:</w:t>
            </w:r>
          </w:p>
          <w:p w:rsidR="00890B1B" w:rsidRDefault="00890B1B" w:rsidP="004A05F5">
            <w:pPr>
              <w:jc w:val="both"/>
              <w:rPr>
                <w:rFonts w:ascii="Times New Roman" w:hAnsi="Times New Roman" w:cs="Times New Roman"/>
                <w:sz w:val="24"/>
                <w:szCs w:val="24"/>
              </w:rPr>
            </w:pPr>
            <w:r>
              <w:rPr>
                <w:rFonts w:ascii="Times New Roman" w:hAnsi="Times New Roman" w:cs="Times New Roman"/>
                <w:sz w:val="24"/>
                <w:szCs w:val="24"/>
              </w:rPr>
              <w:t>-учет расчетов с подотчетными лицами: п</w:t>
            </w:r>
            <w:r w:rsidRPr="00513971">
              <w:rPr>
                <w:rFonts w:ascii="Times New Roman" w:hAnsi="Times New Roman" w:cs="Times New Roman"/>
                <w:sz w:val="24"/>
                <w:szCs w:val="24"/>
              </w:rPr>
              <w:t>орядок выдачи наличных денежных средств и предоставления отчетности</w:t>
            </w:r>
            <w:r>
              <w:rPr>
                <w:rFonts w:ascii="Times New Roman" w:hAnsi="Times New Roman" w:cs="Times New Roman"/>
                <w:sz w:val="24"/>
                <w:szCs w:val="24"/>
              </w:rPr>
              <w:t xml:space="preserve"> подотчетными лицами, порядок учета бланков строгой отчетности, п</w:t>
            </w:r>
            <w:r w:rsidRPr="00513971">
              <w:rPr>
                <w:rFonts w:ascii="Times New Roman" w:hAnsi="Times New Roman" w:cs="Times New Roman"/>
                <w:sz w:val="24"/>
                <w:szCs w:val="24"/>
              </w:rPr>
              <w:t>орядок и размер возмещения расходов, связанн</w:t>
            </w:r>
            <w:r>
              <w:rPr>
                <w:rFonts w:ascii="Times New Roman" w:hAnsi="Times New Roman" w:cs="Times New Roman"/>
                <w:sz w:val="24"/>
                <w:szCs w:val="24"/>
              </w:rPr>
              <w:t>ых со служебными командировками;</w:t>
            </w:r>
          </w:p>
          <w:p w:rsidR="00890B1B" w:rsidRDefault="00890B1B" w:rsidP="004A05F5">
            <w:pPr>
              <w:jc w:val="both"/>
              <w:rPr>
                <w:rFonts w:ascii="Times New Roman" w:hAnsi="Times New Roman" w:cs="Times New Roman"/>
                <w:sz w:val="24"/>
                <w:szCs w:val="24"/>
              </w:rPr>
            </w:pPr>
            <w:r>
              <w:rPr>
                <w:rFonts w:ascii="Times New Roman" w:hAnsi="Times New Roman" w:cs="Times New Roman"/>
                <w:sz w:val="24"/>
                <w:szCs w:val="24"/>
              </w:rPr>
              <w:lastRenderedPageBreak/>
              <w:t>-учет дебиторской и кредиторской задолженности: порядок признания дебиторской задолженности нереальной к взысканию, порядок списания нереальной к взысканию дебиторской задолженности.</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2B4FCC">
              <w:rPr>
                <w:rFonts w:ascii="Times New Roman" w:hAnsi="Times New Roman" w:cs="Times New Roman"/>
                <w:sz w:val="24"/>
                <w:szCs w:val="24"/>
              </w:rPr>
              <w:lastRenderedPageBreak/>
              <w:t>Финансовый результат</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-учет резерва отпускных;</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-учет отпускных, начисленных в отчетном периоде, но относящихся к будущим отчетным периодам.</w:t>
            </w:r>
          </w:p>
          <w:p w:rsidR="00890B1B" w:rsidRDefault="00890B1B" w:rsidP="00091F0A">
            <w:pPr>
              <w:jc w:val="both"/>
              <w:rPr>
                <w:rFonts w:ascii="Times New Roman" w:hAnsi="Times New Roman" w:cs="Times New Roman"/>
                <w:sz w:val="24"/>
                <w:szCs w:val="24"/>
              </w:rPr>
            </w:pP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0F7AE3">
              <w:rPr>
                <w:rFonts w:ascii="Times New Roman" w:hAnsi="Times New Roman" w:cs="Times New Roman"/>
                <w:sz w:val="24"/>
                <w:szCs w:val="24"/>
              </w:rPr>
              <w:t>Администрирование доходов, источников финансирования дефицита бюджета</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основания для</w:t>
            </w:r>
            <w:r>
              <w:t xml:space="preserve"> </w:t>
            </w:r>
            <w:r w:rsidRPr="000F7AE3">
              <w:rPr>
                <w:rFonts w:ascii="Times New Roman" w:hAnsi="Times New Roman" w:cs="Times New Roman"/>
                <w:sz w:val="24"/>
                <w:szCs w:val="24"/>
              </w:rPr>
              <w:t>отражения операций по поступлениям</w:t>
            </w:r>
            <w:r w:rsidRPr="004041A1">
              <w:rPr>
                <w:rFonts w:ascii="Times New Roman" w:hAnsi="Times New Roman" w:cs="Times New Roman"/>
                <w:sz w:val="24"/>
                <w:szCs w:val="24"/>
              </w:rPr>
              <w:t>.</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0F7AE3">
              <w:rPr>
                <w:rFonts w:ascii="Times New Roman" w:hAnsi="Times New Roman" w:cs="Times New Roman"/>
                <w:sz w:val="24"/>
                <w:szCs w:val="24"/>
              </w:rPr>
              <w:t>Санкционирование расходов</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срок, основание принятия бюджетных обязательств, в том числе обязательств, принятых в результате </w:t>
            </w:r>
            <w:r w:rsidRPr="004041A1">
              <w:rPr>
                <w:rFonts w:ascii="Times New Roman" w:hAnsi="Times New Roman" w:cs="Times New Roman"/>
                <w:sz w:val="24"/>
                <w:szCs w:val="24"/>
              </w:rPr>
              <w:t>заключения муниципальных контрактов с пр</w:t>
            </w:r>
            <w:r>
              <w:rPr>
                <w:rFonts w:ascii="Times New Roman" w:hAnsi="Times New Roman" w:cs="Times New Roman"/>
                <w:sz w:val="24"/>
                <w:szCs w:val="24"/>
              </w:rPr>
              <w:t>именением конкурентных процедур, а также обязательств по резервам предстоящих расходов.</w:t>
            </w:r>
          </w:p>
        </w:tc>
      </w:tr>
      <w:tr w:rsidR="00890B1B" w:rsidTr="00890B1B">
        <w:tc>
          <w:tcPr>
            <w:tcW w:w="2944" w:type="dxa"/>
          </w:tcPr>
          <w:p w:rsidR="00890B1B" w:rsidRPr="00BB294F" w:rsidRDefault="00890B1B" w:rsidP="00091F0A">
            <w:pPr>
              <w:jc w:val="both"/>
              <w:rPr>
                <w:rFonts w:ascii="Times New Roman" w:hAnsi="Times New Roman" w:cs="Times New Roman"/>
                <w:sz w:val="24"/>
                <w:szCs w:val="24"/>
              </w:rPr>
            </w:pPr>
            <w:r w:rsidRPr="000F7AE3">
              <w:rPr>
                <w:rFonts w:ascii="Times New Roman" w:hAnsi="Times New Roman" w:cs="Times New Roman"/>
                <w:sz w:val="24"/>
                <w:szCs w:val="24"/>
              </w:rPr>
              <w:t>Обесценение активов</w:t>
            </w:r>
          </w:p>
        </w:tc>
        <w:tc>
          <w:tcPr>
            <w:tcW w:w="6946" w:type="dxa"/>
          </w:tcPr>
          <w:p w:rsidR="00890B1B" w:rsidRPr="00422870" w:rsidRDefault="00890B1B" w:rsidP="000F7AE3">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порядок определения</w:t>
            </w:r>
            <w:r>
              <w:rPr>
                <w:rFonts w:ascii="Times New Roman" w:eastAsia="Times New Roman" w:hAnsi="Times New Roman" w:cs="Times New Roman"/>
                <w:bCs/>
                <w:sz w:val="24"/>
                <w:szCs w:val="24"/>
              </w:rPr>
              <w:t xml:space="preserve"> признаков возможного обесценения (снижения убытка)  соответствующих активов.</w:t>
            </w:r>
          </w:p>
        </w:tc>
      </w:tr>
      <w:tr w:rsidR="00890B1B" w:rsidTr="00890B1B">
        <w:tc>
          <w:tcPr>
            <w:tcW w:w="2944" w:type="dxa"/>
          </w:tcPr>
          <w:p w:rsidR="00890B1B" w:rsidRDefault="00AA0DB4" w:rsidP="00091F0A">
            <w:pPr>
              <w:jc w:val="both"/>
              <w:rPr>
                <w:rFonts w:ascii="Times New Roman" w:hAnsi="Times New Roman" w:cs="Times New Roman"/>
                <w:sz w:val="24"/>
                <w:szCs w:val="24"/>
              </w:rPr>
            </w:pPr>
            <w:proofErr w:type="spellStart"/>
            <w:r w:rsidRPr="00AA0DB4">
              <w:rPr>
                <w:rFonts w:ascii="Times New Roman" w:hAnsi="Times New Roman" w:cs="Times New Roman"/>
                <w:sz w:val="24"/>
                <w:szCs w:val="24"/>
              </w:rPr>
              <w:t>Забалансовый</w:t>
            </w:r>
            <w:proofErr w:type="spellEnd"/>
            <w:r w:rsidRPr="00AA0DB4">
              <w:rPr>
                <w:rFonts w:ascii="Times New Roman" w:hAnsi="Times New Roman" w:cs="Times New Roman"/>
                <w:sz w:val="24"/>
                <w:szCs w:val="24"/>
              </w:rPr>
              <w:t xml:space="preserve"> учет</w:t>
            </w:r>
          </w:p>
        </w:tc>
        <w:tc>
          <w:tcPr>
            <w:tcW w:w="6946" w:type="dxa"/>
          </w:tcPr>
          <w:p w:rsidR="00890B1B" w:rsidRDefault="00890B1B" w:rsidP="009008FA">
            <w:pPr>
              <w:jc w:val="both"/>
              <w:rPr>
                <w:rFonts w:ascii="Times New Roman" w:hAnsi="Times New Roman" w:cs="Times New Roman"/>
                <w:sz w:val="24"/>
                <w:szCs w:val="24"/>
              </w:rPr>
            </w:pPr>
            <w:r w:rsidRPr="00422870">
              <w:rPr>
                <w:rFonts w:ascii="Times New Roman" w:hAnsi="Times New Roman" w:cs="Times New Roman"/>
                <w:sz w:val="24"/>
                <w:szCs w:val="24"/>
              </w:rPr>
              <w:t>Подраздел определяет</w:t>
            </w:r>
            <w:r>
              <w:rPr>
                <w:rFonts w:ascii="Times New Roman" w:hAnsi="Times New Roman" w:cs="Times New Roman"/>
                <w:sz w:val="24"/>
                <w:szCs w:val="24"/>
              </w:rPr>
              <w:t xml:space="preserve"> правила учета на забалансовых счетах 01</w:t>
            </w:r>
            <w:r w:rsidRPr="00422870">
              <w:rPr>
                <w:rFonts w:ascii="Times New Roman" w:hAnsi="Times New Roman" w:cs="Times New Roman"/>
                <w:sz w:val="24"/>
                <w:szCs w:val="24"/>
              </w:rPr>
              <w:t>«Имущество, полученное в пользование»</w:t>
            </w:r>
            <w:r>
              <w:rPr>
                <w:rFonts w:ascii="Times New Roman" w:hAnsi="Times New Roman" w:cs="Times New Roman"/>
                <w:sz w:val="24"/>
                <w:szCs w:val="24"/>
              </w:rPr>
              <w:t xml:space="preserve">, </w:t>
            </w:r>
            <w:r w:rsidRPr="00422870">
              <w:rPr>
                <w:rFonts w:ascii="Times New Roman" w:hAnsi="Times New Roman" w:cs="Times New Roman"/>
                <w:sz w:val="24"/>
                <w:szCs w:val="24"/>
              </w:rPr>
              <w:t>03 «Бланки строгой отчетности»</w:t>
            </w:r>
            <w:r>
              <w:rPr>
                <w:rFonts w:ascii="Times New Roman" w:hAnsi="Times New Roman" w:cs="Times New Roman"/>
                <w:sz w:val="24"/>
                <w:szCs w:val="24"/>
              </w:rPr>
              <w:t>,</w:t>
            </w:r>
            <w:r>
              <w:t xml:space="preserve"> </w:t>
            </w:r>
            <w:r w:rsidRPr="00422870">
              <w:rPr>
                <w:rFonts w:ascii="Times New Roman" w:hAnsi="Times New Roman" w:cs="Times New Roman"/>
                <w:sz w:val="24"/>
                <w:szCs w:val="24"/>
              </w:rPr>
              <w:t>04 «Сомнительная задолженность»</w:t>
            </w:r>
            <w:r>
              <w:rPr>
                <w:rFonts w:ascii="Times New Roman" w:hAnsi="Times New Roman" w:cs="Times New Roman"/>
                <w:sz w:val="24"/>
                <w:szCs w:val="24"/>
              </w:rPr>
              <w:t xml:space="preserve">, </w:t>
            </w:r>
            <w:r>
              <w:rPr>
                <w:rFonts w:ascii="Times New Roman" w:eastAsia="Times New Roman" w:hAnsi="Times New Roman" w:cs="Times New Roman"/>
                <w:color w:val="000000"/>
                <w:sz w:val="24"/>
                <w:lang w:eastAsia="ar-SA"/>
              </w:rPr>
              <w:t>10 «Обеспечение исполнения обязательств»</w:t>
            </w:r>
            <w:r>
              <w:rPr>
                <w:rFonts w:ascii="Times New Roman" w:hAnsi="Times New Roman" w:cs="Times New Roman"/>
                <w:sz w:val="24"/>
                <w:szCs w:val="24"/>
              </w:rPr>
              <w:t xml:space="preserve">, </w:t>
            </w:r>
            <w:r w:rsidRPr="009938CB">
              <w:rPr>
                <w:rFonts w:ascii="Times New Roman" w:hAnsi="Times New Roman" w:cs="Times New Roman"/>
                <w:sz w:val="24"/>
                <w:szCs w:val="24"/>
              </w:rPr>
              <w:t>17 «Поступления денежных средств»</w:t>
            </w:r>
            <w:r>
              <w:rPr>
                <w:rFonts w:ascii="Times New Roman" w:hAnsi="Times New Roman" w:cs="Times New Roman"/>
                <w:sz w:val="24"/>
                <w:szCs w:val="24"/>
              </w:rPr>
              <w:t xml:space="preserve">, </w:t>
            </w:r>
            <w:r w:rsidRPr="009938CB">
              <w:rPr>
                <w:rFonts w:ascii="Times New Roman" w:hAnsi="Times New Roman" w:cs="Times New Roman"/>
                <w:sz w:val="24"/>
                <w:szCs w:val="24"/>
              </w:rPr>
              <w:t>18 «Выбытия денежных средств»</w:t>
            </w:r>
            <w:r>
              <w:rPr>
                <w:rFonts w:ascii="Times New Roman" w:hAnsi="Times New Roman" w:cs="Times New Roman"/>
                <w:sz w:val="24"/>
                <w:szCs w:val="24"/>
              </w:rPr>
              <w:t xml:space="preserve">, </w:t>
            </w:r>
            <w:r w:rsidRPr="009938CB">
              <w:rPr>
                <w:rFonts w:ascii="Times New Roman" w:hAnsi="Times New Roman" w:cs="Times New Roman"/>
                <w:sz w:val="24"/>
                <w:szCs w:val="24"/>
              </w:rPr>
              <w:t xml:space="preserve"> 19 «Невыясненные поступления прошлых лет»</w:t>
            </w:r>
            <w:r>
              <w:rPr>
                <w:rFonts w:ascii="Times New Roman" w:hAnsi="Times New Roman" w:cs="Times New Roman"/>
                <w:sz w:val="24"/>
                <w:szCs w:val="24"/>
              </w:rPr>
              <w:t xml:space="preserve">, </w:t>
            </w:r>
            <w:r w:rsidRPr="00890B1B">
              <w:rPr>
                <w:rFonts w:ascii="Times New Roman" w:hAnsi="Times New Roman" w:cs="Times New Roman"/>
                <w:sz w:val="24"/>
                <w:szCs w:val="24"/>
              </w:rPr>
              <w:t>20 «Задолженность, не востребованная кредиторами»</w:t>
            </w:r>
            <w:r>
              <w:rPr>
                <w:rFonts w:ascii="Times New Roman" w:hAnsi="Times New Roman" w:cs="Times New Roman"/>
                <w:sz w:val="24"/>
                <w:szCs w:val="24"/>
              </w:rPr>
              <w:t>,</w:t>
            </w:r>
            <w:r w:rsidRPr="009938CB">
              <w:rPr>
                <w:rFonts w:ascii="Times New Roman" w:hAnsi="Times New Roman" w:cs="Times New Roman"/>
                <w:sz w:val="24"/>
                <w:szCs w:val="24"/>
              </w:rPr>
              <w:t xml:space="preserve">  21 «Основные сред</w:t>
            </w:r>
            <w:r>
              <w:rPr>
                <w:rFonts w:ascii="Times New Roman" w:hAnsi="Times New Roman" w:cs="Times New Roman"/>
                <w:sz w:val="24"/>
                <w:szCs w:val="24"/>
              </w:rPr>
              <w:t>ства в эксплуатации».</w:t>
            </w:r>
            <w:r w:rsidRPr="009938CB">
              <w:rPr>
                <w:rFonts w:ascii="Times New Roman" w:hAnsi="Times New Roman" w:cs="Times New Roman"/>
                <w:sz w:val="24"/>
                <w:szCs w:val="24"/>
              </w:rPr>
              <w:t xml:space="preserve"> </w:t>
            </w:r>
            <w:r w:rsidRPr="004228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870">
              <w:rPr>
                <w:rFonts w:ascii="Times New Roman" w:hAnsi="Times New Roman" w:cs="Times New Roman"/>
                <w:sz w:val="24"/>
                <w:szCs w:val="24"/>
              </w:rPr>
              <w:t xml:space="preserve"> </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BB294F">
              <w:rPr>
                <w:rFonts w:ascii="Times New Roman" w:hAnsi="Times New Roman" w:cs="Times New Roman"/>
                <w:sz w:val="24"/>
                <w:szCs w:val="24"/>
              </w:rPr>
              <w:t>Общие принципы ведения налогового учета</w:t>
            </w:r>
          </w:p>
        </w:tc>
        <w:tc>
          <w:tcPr>
            <w:tcW w:w="6946" w:type="dxa"/>
          </w:tcPr>
          <w:p w:rsidR="00890B1B" w:rsidRDefault="00890B1B" w:rsidP="00091F0A">
            <w:pPr>
              <w:jc w:val="both"/>
              <w:rPr>
                <w:rFonts w:ascii="Times New Roman" w:hAnsi="Times New Roman" w:cs="Times New Roman"/>
                <w:sz w:val="24"/>
                <w:szCs w:val="24"/>
              </w:rPr>
            </w:pPr>
            <w:r w:rsidRPr="000A5DF0">
              <w:rPr>
                <w:rFonts w:ascii="Times New Roman" w:hAnsi="Times New Roman" w:cs="Times New Roman"/>
                <w:sz w:val="24"/>
                <w:szCs w:val="24"/>
              </w:rPr>
              <w:t>Налоговый учет в  управлении ведется в соответствии с Налоговым кодексом Российской Федерации и иными нормативными правовыми актами Российской Федерации по вопросам налогообложения. Управление применяет общую систему налогообложения в соответствии со статьей 313 Налогового Кодекса Российской Федерации.</w:t>
            </w:r>
          </w:p>
        </w:tc>
      </w:tr>
    </w:tbl>
    <w:p w:rsidR="00A24DE8" w:rsidRPr="00804E78" w:rsidRDefault="00A24DE8">
      <w:pPr>
        <w:rPr>
          <w:rFonts w:ascii="Times New Roman" w:hAnsi="Times New Roman" w:cs="Times New Roman"/>
          <w:sz w:val="24"/>
          <w:szCs w:val="24"/>
        </w:rPr>
      </w:pPr>
    </w:p>
    <w:sectPr w:rsidR="00A24DE8" w:rsidRPr="00804E78" w:rsidSect="00890B1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13"/>
    <w:rsid w:val="00091F0A"/>
    <w:rsid w:val="000A5DF0"/>
    <w:rsid w:val="000F7AE3"/>
    <w:rsid w:val="00132344"/>
    <w:rsid w:val="001D658B"/>
    <w:rsid w:val="002000CE"/>
    <w:rsid w:val="0027372C"/>
    <w:rsid w:val="002B1E13"/>
    <w:rsid w:val="002B4FCC"/>
    <w:rsid w:val="003527D7"/>
    <w:rsid w:val="004041A1"/>
    <w:rsid w:val="00422870"/>
    <w:rsid w:val="004246BA"/>
    <w:rsid w:val="00440713"/>
    <w:rsid w:val="00453ED9"/>
    <w:rsid w:val="004A05F5"/>
    <w:rsid w:val="005105D4"/>
    <w:rsid w:val="00513971"/>
    <w:rsid w:val="00520890"/>
    <w:rsid w:val="005C47CA"/>
    <w:rsid w:val="005D4E52"/>
    <w:rsid w:val="005E3746"/>
    <w:rsid w:val="005F5C0B"/>
    <w:rsid w:val="00681436"/>
    <w:rsid w:val="00723881"/>
    <w:rsid w:val="00743E4B"/>
    <w:rsid w:val="007806A7"/>
    <w:rsid w:val="00804E78"/>
    <w:rsid w:val="00853E0C"/>
    <w:rsid w:val="00875901"/>
    <w:rsid w:val="00890B1B"/>
    <w:rsid w:val="00892439"/>
    <w:rsid w:val="008A4635"/>
    <w:rsid w:val="009008FA"/>
    <w:rsid w:val="00904F1E"/>
    <w:rsid w:val="009938CB"/>
    <w:rsid w:val="009E79CD"/>
    <w:rsid w:val="00A24DE8"/>
    <w:rsid w:val="00AA0DB4"/>
    <w:rsid w:val="00BA483B"/>
    <w:rsid w:val="00BB294F"/>
    <w:rsid w:val="00C16944"/>
    <w:rsid w:val="00D34766"/>
    <w:rsid w:val="00D45618"/>
    <w:rsid w:val="00D62831"/>
    <w:rsid w:val="00DB349A"/>
    <w:rsid w:val="00DD3F74"/>
    <w:rsid w:val="00EB7248"/>
    <w:rsid w:val="00ED3C85"/>
    <w:rsid w:val="00F017AA"/>
    <w:rsid w:val="00F06480"/>
    <w:rsid w:val="00FA111C"/>
    <w:rsid w:val="00FC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43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43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Христосенко Оксана Владимировна</dc:creator>
  <cp:lastModifiedBy>Екатерина Алексеевна Соболевская</cp:lastModifiedBy>
  <cp:revision>4</cp:revision>
  <cp:lastPrinted>2023-01-25T14:15:00Z</cp:lastPrinted>
  <dcterms:created xsi:type="dcterms:W3CDTF">2023-05-29T12:28:00Z</dcterms:created>
  <dcterms:modified xsi:type="dcterms:W3CDTF">2023-05-29T13:51:00Z</dcterms:modified>
</cp:coreProperties>
</file>