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от 21.10.2014 для закупки №0133300001714001099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D32E0" w:rsidRPr="004D32E0" w:rsidTr="004D32E0">
        <w:tc>
          <w:tcPr>
            <w:tcW w:w="250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D32E0" w:rsidRPr="004D32E0" w:rsidTr="004D32E0"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 октября 2014</w:t>
            </w:r>
          </w:p>
        </w:tc>
      </w:tr>
      <w:tr w:rsidR="004D32E0" w:rsidRPr="004D32E0" w:rsidTr="004D32E0"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4D32E0" w:rsidRPr="004D32E0" w:rsidRDefault="004D32E0" w:rsidP="004D32E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D32E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30.09.2014 №0133300001714001099).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21 октября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221.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Непосредственно </w:t>
      </w:r>
      <w:proofErr w:type="gramStart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конверт</w:t>
      </w:r>
      <w:proofErr w:type="gramEnd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- наличие информации и документов, предусмотренных конкурсной документацией;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4D32E0" w:rsidRPr="004D32E0" w:rsidRDefault="004D32E0" w:rsidP="004D32E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D32E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2. Существенные условия контракта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proofErr w:type="gramStart"/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Закупка №0133300001714001099 «Выполнение полного комплекса работ по разработке проектно-сметной документации «Строительство автодороги м. </w:t>
      </w:r>
      <w:proofErr w:type="spellStart"/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Минеево</w:t>
      </w:r>
      <w:proofErr w:type="spellEnd"/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– пос. Дальний, соединяющей ул. Минскую и ул. Фрунзе г. Иваново» в 4 этапа. »</w:t>
      </w:r>
      <w:proofErr w:type="gramEnd"/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5363332.26 Российский рубль (пять миллионов триста шестьдесят три тысячи триста тридцать два рубля двадцать шесть копеек)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По месту нахождения Подрядчика. 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Начало выполнения работ – с момента заключения муниципального Контракта. Срок окончания выполнения работ: 1 этап: 05.11.2014 года;2 этап: 01.12.2014 года; 3 этап: 08.12.2014 года; 4 этап: 29.12.2014 года.</w:t>
      </w:r>
    </w:p>
    <w:p w:rsidR="004D32E0" w:rsidRPr="004D32E0" w:rsidRDefault="004D32E0" w:rsidP="004D32E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D32E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капитального строительства Администрации города Иванова.</w:t>
      </w:r>
    </w:p>
    <w:p w:rsidR="004D32E0" w:rsidRPr="004D32E0" w:rsidRDefault="004D32E0" w:rsidP="004D32E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D32E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proofErr w:type="spellStart"/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4D32E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D32E0" w:rsidRDefault="004D32E0" w:rsidP="004D32E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Default="004D32E0" w:rsidP="004D32E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Pr="004D32E0" w:rsidRDefault="004D32E0" w:rsidP="004D32E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Pr="004D32E0" w:rsidRDefault="004D32E0" w:rsidP="004D32E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D32E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 xml:space="preserve">5. Заявки на участие в открытом конкурсе 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055"/>
        <w:gridCol w:w="1767"/>
        <w:gridCol w:w="1594"/>
        <w:gridCol w:w="2880"/>
        <w:gridCol w:w="1304"/>
      </w:tblGrid>
      <w:tr w:rsidR="004D32E0" w:rsidRPr="004D32E0" w:rsidTr="004D32E0">
        <w:tc>
          <w:tcPr>
            <w:tcW w:w="25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25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25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4250" w:type="pct"/>
            <w:gridSpan w:val="2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4D32E0" w:rsidRPr="004D32E0" w:rsidTr="004D32E0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21.10.2014 10:57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"НПО Дорога"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3702578694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153000, РФ, Ивановская область, г. Иваново, ул. Жарова, 8</w:t>
            </w:r>
            <w:proofErr w:type="gramEnd"/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Опись документов 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 Сопроводительное письмо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 Анкета участника открытого конкурса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 Предложение о цене контракта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 Засвидетельствованная в нотариальном порядке копия выписки из единого государственного реестра юридических лиц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 Документ, подтверждающий полномочия лица на осуществление действий от имени участника открытого конкурса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8. </w:t>
            </w:r>
            <w:proofErr w:type="gramStart"/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Копия документа, подтверждающего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конкурса»):- копия действующего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</w:t>
            </w:r>
            <w:proofErr w:type="gramEnd"/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которых</w:t>
            </w:r>
            <w:proofErr w:type="gramEnd"/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является предметом муниципального контракта (работы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согласно предмету контракта)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2-6 пункта 16 Информационной карты)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 Декларация о принадлежности участника открытого конкурса к 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субъектам малого предпринимательства или социально ориентированным некоммерческим организациям, установленная ч.3 ст.30 Закона 44-ФЗ 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 Копии учредительных документов участника открытого конкурса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 Решение об одобрении или о совершении крупной сделки либо копия такого решения 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 Документы, подтверждающие внесение обеспечения заявки на участие в открытом конкурсе</w:t>
            </w: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 Документ, подтверждающий квалификацию участника открытого конкурса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4D32E0" w:rsidRPr="004D32E0" w:rsidTr="004D32E0"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 Другие документы, прикладываемые по усмотрению участником закупки</w:t>
            </w:r>
          </w:p>
        </w:tc>
        <w:tc>
          <w:tcPr>
            <w:tcW w:w="750" w:type="pct"/>
            <w:vAlign w:val="center"/>
            <w:hideMark/>
          </w:tcPr>
          <w:p w:rsidR="004D32E0" w:rsidRPr="004D32E0" w:rsidRDefault="004D32E0" w:rsidP="004D32E0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Присутствует</w:t>
            </w:r>
          </w:p>
        </w:tc>
      </w:tr>
    </w:tbl>
    <w:p w:rsidR="004D32E0" w:rsidRPr="004D32E0" w:rsidRDefault="004D32E0" w:rsidP="004D32E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Pr="004D32E0" w:rsidRDefault="004D32E0" w:rsidP="004D32E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D32E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4D32E0" w:rsidRPr="004D32E0" w:rsidRDefault="004D32E0" w:rsidP="004D32E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Pr="004D32E0" w:rsidRDefault="004D32E0" w:rsidP="004D32E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D32E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7. Публикация и хранение протокола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D32E0" w:rsidRPr="004D32E0" w:rsidRDefault="004D32E0" w:rsidP="004D32E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D32E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1. Условия исполнения контракта, указанные в заявках на участие в открытом конкурсе </w:t>
      </w:r>
      <w:r w:rsidR="001C79E3">
        <w:rPr>
          <w:rFonts w:ascii="Tahoma" w:eastAsia="Times New Roman" w:hAnsi="Tahoma" w:cs="Tahoma"/>
          <w:sz w:val="21"/>
          <w:szCs w:val="21"/>
          <w:lang w:eastAsia="ru-RU"/>
        </w:rPr>
        <w:t xml:space="preserve">2 </w:t>
      </w:r>
      <w:bookmarkStart w:id="0" w:name="_GoBack"/>
      <w:bookmarkEnd w:id="0"/>
      <w:r w:rsidRPr="004D32E0">
        <w:rPr>
          <w:rFonts w:ascii="Tahoma" w:eastAsia="Times New Roman" w:hAnsi="Tahoma" w:cs="Tahoma"/>
          <w:sz w:val="21"/>
          <w:szCs w:val="21"/>
          <w:lang w:eastAsia="ru-RU"/>
        </w:rPr>
        <w:t xml:space="preserve">л. </w:t>
      </w:r>
    </w:p>
    <w:p w:rsidR="004D32E0" w:rsidRPr="004D32E0" w:rsidRDefault="004D32E0" w:rsidP="004D32E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D32E0" w:rsidRPr="004D32E0" w:rsidTr="004D32E0">
        <w:tc>
          <w:tcPr>
            <w:tcW w:w="200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D32E0" w:rsidRPr="004D32E0" w:rsidTr="004D32E0"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4D32E0" w:rsidRPr="004D32E0" w:rsidTr="004D32E0">
        <w:trPr>
          <w:trHeight w:val="450"/>
        </w:trPr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32E0" w:rsidRPr="004D32E0" w:rsidTr="004D32E0"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4D32E0" w:rsidRPr="004D32E0" w:rsidTr="004D32E0">
        <w:trPr>
          <w:trHeight w:val="450"/>
        </w:trPr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32E0" w:rsidRPr="004D32E0" w:rsidTr="004D32E0"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4D32E0" w:rsidRPr="004D32E0" w:rsidTr="004D32E0">
        <w:trPr>
          <w:trHeight w:val="450"/>
        </w:trPr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D32E0" w:rsidRDefault="004D32E0" w:rsidP="004D32E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D32E0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D32E0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D32E0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D32E0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D32E0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D32E0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4D32E0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D32E0" w:rsidRDefault="004D32E0" w:rsidP="004D32E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Default="004D32E0" w:rsidP="004D32E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Default="004D32E0" w:rsidP="004D32E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Default="004D32E0" w:rsidP="004D32E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Default="004D32E0" w:rsidP="004D32E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Default="004D32E0" w:rsidP="004D32E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Default="004D32E0" w:rsidP="004D32E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Default="004D32E0" w:rsidP="004D32E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  <w:sectPr w:rsidR="004D32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2E0" w:rsidRPr="004D32E0" w:rsidRDefault="004D32E0" w:rsidP="004D32E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32E0" w:rsidRPr="004D32E0" w:rsidTr="004D32E0">
        <w:tc>
          <w:tcPr>
            <w:tcW w:w="250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D32E0" w:rsidRPr="004D32E0" w:rsidTr="004D32E0"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32E0" w:rsidRPr="004D32E0" w:rsidRDefault="004D32E0" w:rsidP="004D32E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21.10.2014</w:t>
            </w:r>
          </w:p>
        </w:tc>
      </w:tr>
    </w:tbl>
    <w:p w:rsidR="004D32E0" w:rsidRPr="004D32E0" w:rsidRDefault="004D32E0" w:rsidP="004D32E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Pr="004D32E0" w:rsidRDefault="004D32E0" w:rsidP="004D32E0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D32E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Условия исполнения контракта, указанные в заявках на участие в открытом конкурсе</w:t>
      </w:r>
    </w:p>
    <w:p w:rsidR="004D32E0" w:rsidRPr="004D32E0" w:rsidRDefault="004D32E0" w:rsidP="004D32E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D32E0" w:rsidRPr="004D32E0" w:rsidRDefault="004D32E0" w:rsidP="004D32E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32E0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4D32E0" w:rsidRPr="004D32E0" w:rsidRDefault="004D32E0" w:rsidP="004D32E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4D32E0" w:rsidRPr="004D32E0" w:rsidTr="004D32E0">
        <w:tc>
          <w:tcPr>
            <w:tcW w:w="50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исполнения контракта по заявке</w:t>
            </w:r>
          </w:p>
        </w:tc>
      </w:tr>
      <w:tr w:rsidR="004D32E0" w:rsidRPr="004D32E0" w:rsidTr="004D32E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4D32E0" w:rsidRPr="004D32E0" w:rsidRDefault="004D32E0" w:rsidP="004D32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32E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4D32E0" w:rsidRPr="004D32E0">
              <w:tc>
                <w:tcPr>
                  <w:tcW w:w="0" w:type="auto"/>
                  <w:vAlign w:val="center"/>
                  <w:hideMark/>
                </w:tcPr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5300000.00 Российский рубль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  <w:lang w:eastAsia="ru-RU"/>
                    </w:rPr>
                    <w:t>Показатели критерия оценки: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1 Наличие у участника закупки опыта успешного выполнения работ, аналогичных объекту закупки. 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50.00%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</w:t>
                  </w: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значение критерия (показателя) 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12.00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12 контрактам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2 Деловая репутация участника закупки.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25.00%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9.00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9 отзывам, благодарностям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контракта).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Значимость показателя: 25.00%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Предельное значение: 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Предложение участника: 16.00</w:t>
                  </w:r>
                </w:p>
                <w:p w:rsidR="004D32E0" w:rsidRPr="004D32E0" w:rsidRDefault="004D32E0" w:rsidP="004D32E0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32E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Указана информация по 16 сотрудникам</w:t>
                  </w:r>
                </w:p>
              </w:tc>
            </w:tr>
          </w:tbl>
          <w:p w:rsidR="004D32E0" w:rsidRPr="004D32E0" w:rsidRDefault="004D32E0" w:rsidP="004D32E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E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9E3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2E0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3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3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D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D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D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3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3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D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D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D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171">
          <w:marLeft w:val="0"/>
          <w:marRight w:val="0"/>
          <w:marTop w:val="8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9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4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26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1677</Words>
  <Characters>9562</Characters>
  <Application>Microsoft Office Word</Application>
  <DocSecurity>0</DocSecurity>
  <Lines>79</Lines>
  <Paragraphs>22</Paragraphs>
  <ScaleCrop>false</ScaleCrop>
  <Company>Администрация города Иванова</Company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cp:lastPrinted>2014-10-21T11:24:00Z</cp:lastPrinted>
  <dcterms:created xsi:type="dcterms:W3CDTF">2014-10-21T11:19:00Z</dcterms:created>
  <dcterms:modified xsi:type="dcterms:W3CDTF">2014-10-22T12:50:00Z</dcterms:modified>
</cp:coreProperties>
</file>