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3544"/>
        <w:gridCol w:w="3969"/>
      </w:tblGrid>
      <w:tr w:rsidR="00C84FC3" w:rsidRPr="006D67DA" w:rsidTr="00A95CDA">
        <w:tc>
          <w:tcPr>
            <w:tcW w:w="567" w:type="dxa"/>
            <w:shd w:val="clear" w:color="auto" w:fill="auto"/>
          </w:tcPr>
          <w:p w:rsidR="00C84FC3" w:rsidRPr="006D67DA" w:rsidRDefault="00C84FC3" w:rsidP="00FE0DAB">
            <w:pPr>
              <w:jc w:val="center"/>
              <w:rPr>
                <w:rFonts w:eastAsia="Calibri"/>
                <w:sz w:val="22"/>
                <w:szCs w:val="22"/>
              </w:rPr>
            </w:pPr>
            <w:r w:rsidRPr="006D67DA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6D67DA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6D67DA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C84FC3" w:rsidRPr="006D67DA" w:rsidRDefault="00C84FC3" w:rsidP="00FE0DAB">
            <w:pPr>
              <w:jc w:val="center"/>
              <w:rPr>
                <w:rFonts w:eastAsia="Calibri"/>
                <w:sz w:val="22"/>
                <w:szCs w:val="22"/>
              </w:rPr>
            </w:pPr>
            <w:r w:rsidRPr="006D67DA">
              <w:rPr>
                <w:rFonts w:eastAsia="Calibri"/>
                <w:sz w:val="22"/>
                <w:szCs w:val="22"/>
              </w:rPr>
              <w:t>Раздел конкурсной документации</w:t>
            </w:r>
          </w:p>
        </w:tc>
        <w:tc>
          <w:tcPr>
            <w:tcW w:w="1559" w:type="dxa"/>
            <w:shd w:val="clear" w:color="auto" w:fill="auto"/>
          </w:tcPr>
          <w:p w:rsidR="00C84FC3" w:rsidRPr="006D67DA" w:rsidRDefault="00C84FC3" w:rsidP="00FE0DAB">
            <w:pPr>
              <w:jc w:val="center"/>
              <w:rPr>
                <w:rFonts w:eastAsia="Calibri"/>
                <w:sz w:val="22"/>
                <w:szCs w:val="22"/>
              </w:rPr>
            </w:pPr>
            <w:r w:rsidRPr="006D67DA">
              <w:rPr>
                <w:rFonts w:eastAsia="Calibri"/>
                <w:sz w:val="22"/>
                <w:szCs w:val="22"/>
              </w:rPr>
              <w:t>Ссылка на пункт конкурсной документации, положения которой следует разъяснять</w:t>
            </w:r>
          </w:p>
        </w:tc>
        <w:tc>
          <w:tcPr>
            <w:tcW w:w="3544" w:type="dxa"/>
            <w:shd w:val="clear" w:color="auto" w:fill="auto"/>
          </w:tcPr>
          <w:p w:rsidR="00C84FC3" w:rsidRPr="006D67DA" w:rsidRDefault="00C84FC3" w:rsidP="00FE0DAB">
            <w:pPr>
              <w:jc w:val="center"/>
              <w:rPr>
                <w:rFonts w:eastAsia="Calibri"/>
                <w:sz w:val="22"/>
                <w:szCs w:val="22"/>
              </w:rPr>
            </w:pPr>
            <w:r w:rsidRPr="006D67DA">
              <w:rPr>
                <w:rFonts w:eastAsia="Calibri"/>
                <w:sz w:val="22"/>
                <w:szCs w:val="22"/>
              </w:rPr>
              <w:t>Содержание запроса о разъяснении положений конкурсной документации</w:t>
            </w:r>
          </w:p>
        </w:tc>
        <w:tc>
          <w:tcPr>
            <w:tcW w:w="3969" w:type="dxa"/>
          </w:tcPr>
          <w:p w:rsidR="00C84FC3" w:rsidRPr="006D67DA" w:rsidRDefault="00C84FC3" w:rsidP="00C84FC3">
            <w:pPr>
              <w:jc w:val="center"/>
              <w:rPr>
                <w:rFonts w:eastAsia="Calibri"/>
                <w:sz w:val="22"/>
                <w:szCs w:val="22"/>
              </w:rPr>
            </w:pPr>
            <w:r w:rsidRPr="006D67DA">
              <w:rPr>
                <w:spacing w:val="-5"/>
                <w:sz w:val="22"/>
                <w:szCs w:val="22"/>
              </w:rPr>
              <w:t xml:space="preserve">Разъяснение положений конкурсной документации  </w:t>
            </w:r>
            <w:r w:rsidRPr="006D67DA">
              <w:rPr>
                <w:sz w:val="22"/>
                <w:szCs w:val="22"/>
              </w:rPr>
              <w:t xml:space="preserve">№ </w:t>
            </w:r>
            <w:r w:rsidRPr="006D67DA">
              <w:rPr>
                <w:spacing w:val="-2"/>
                <w:sz w:val="22"/>
                <w:szCs w:val="22"/>
              </w:rPr>
              <w:t>0133300001715000001</w:t>
            </w:r>
          </w:p>
        </w:tc>
      </w:tr>
      <w:tr w:rsidR="00C84FC3" w:rsidRPr="006D67DA" w:rsidTr="00A95CDA">
        <w:tc>
          <w:tcPr>
            <w:tcW w:w="567" w:type="dxa"/>
            <w:shd w:val="clear" w:color="auto" w:fill="auto"/>
          </w:tcPr>
          <w:p w:rsidR="00C84FC3" w:rsidRPr="006D67DA" w:rsidRDefault="00C84FC3" w:rsidP="00FE0DAB">
            <w:pPr>
              <w:jc w:val="center"/>
              <w:rPr>
                <w:rFonts w:eastAsia="Calibri"/>
                <w:sz w:val="22"/>
                <w:szCs w:val="22"/>
              </w:rPr>
            </w:pPr>
            <w:r w:rsidRPr="006D67D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84FC3" w:rsidRPr="006D67DA" w:rsidRDefault="00C84FC3" w:rsidP="00FE0DAB">
            <w:pPr>
              <w:jc w:val="center"/>
              <w:rPr>
                <w:rFonts w:eastAsia="Calibri"/>
                <w:sz w:val="22"/>
                <w:szCs w:val="22"/>
              </w:rPr>
            </w:pPr>
            <w:r w:rsidRPr="006D67DA">
              <w:rPr>
                <w:rFonts w:eastAsia="Calibri"/>
                <w:sz w:val="22"/>
                <w:szCs w:val="22"/>
              </w:rPr>
              <w:t xml:space="preserve">Часть </w:t>
            </w:r>
            <w:r w:rsidRPr="006D67DA">
              <w:rPr>
                <w:rFonts w:eastAsia="Calibri"/>
                <w:sz w:val="22"/>
                <w:szCs w:val="22"/>
                <w:lang w:val="en-US"/>
              </w:rPr>
              <w:t>III</w:t>
            </w:r>
            <w:r w:rsidRPr="006D67DA">
              <w:rPr>
                <w:rFonts w:eastAsia="Calibri"/>
                <w:sz w:val="22"/>
                <w:szCs w:val="22"/>
              </w:rPr>
              <w:t xml:space="preserve"> «Описание объекта закупки»</w:t>
            </w:r>
          </w:p>
        </w:tc>
        <w:tc>
          <w:tcPr>
            <w:tcW w:w="1559" w:type="dxa"/>
            <w:shd w:val="clear" w:color="auto" w:fill="auto"/>
          </w:tcPr>
          <w:p w:rsidR="00C84FC3" w:rsidRPr="006D67DA" w:rsidRDefault="00C84FC3" w:rsidP="00FE0DAB">
            <w:pPr>
              <w:jc w:val="center"/>
              <w:rPr>
                <w:rFonts w:eastAsia="Calibri"/>
                <w:sz w:val="22"/>
                <w:szCs w:val="22"/>
              </w:rPr>
            </w:pPr>
            <w:r w:rsidRPr="006D67DA">
              <w:rPr>
                <w:rFonts w:eastAsia="Calibri"/>
                <w:sz w:val="22"/>
                <w:szCs w:val="22"/>
              </w:rPr>
              <w:t>п.</w:t>
            </w:r>
            <w:r w:rsidR="006F68E8" w:rsidRPr="006D67DA">
              <w:rPr>
                <w:rFonts w:eastAsia="Calibri"/>
                <w:sz w:val="22"/>
                <w:szCs w:val="22"/>
              </w:rPr>
              <w:t xml:space="preserve"> </w:t>
            </w:r>
            <w:r w:rsidRPr="006D67DA">
              <w:rPr>
                <w:rFonts w:eastAsia="Calibri"/>
                <w:sz w:val="22"/>
                <w:szCs w:val="22"/>
              </w:rPr>
              <w:t>4.1.</w:t>
            </w:r>
          </w:p>
        </w:tc>
        <w:tc>
          <w:tcPr>
            <w:tcW w:w="3544" w:type="dxa"/>
            <w:shd w:val="clear" w:color="auto" w:fill="auto"/>
          </w:tcPr>
          <w:p w:rsidR="00C84FC3" w:rsidRPr="006D67DA" w:rsidRDefault="00C84FC3" w:rsidP="00FE0DAB">
            <w:pPr>
              <w:jc w:val="both"/>
              <w:rPr>
                <w:rFonts w:eastAsia="Calibri"/>
                <w:sz w:val="22"/>
                <w:szCs w:val="22"/>
              </w:rPr>
            </w:pPr>
            <w:r w:rsidRPr="006D67DA">
              <w:rPr>
                <w:rFonts w:eastAsia="Calibri"/>
                <w:sz w:val="22"/>
                <w:szCs w:val="22"/>
              </w:rPr>
              <w:t>Укажите региональные и муниципальные нормативно-правовые акты, в соответствии с которыми должна проводиться корректировка Стратегии развития городского округа Иваново до 2020 года.</w:t>
            </w:r>
          </w:p>
        </w:tc>
        <w:tc>
          <w:tcPr>
            <w:tcW w:w="3969" w:type="dxa"/>
          </w:tcPr>
          <w:p w:rsidR="00C84FC3" w:rsidRPr="006D67DA" w:rsidRDefault="00D01A3B" w:rsidP="006D67DA">
            <w:pPr>
              <w:jc w:val="both"/>
              <w:rPr>
                <w:rFonts w:eastAsia="Calibri"/>
                <w:sz w:val="22"/>
                <w:szCs w:val="22"/>
              </w:rPr>
            </w:pPr>
            <w:r w:rsidRPr="006D67DA">
              <w:rPr>
                <w:rFonts w:eastAsia="Calibri"/>
                <w:sz w:val="22"/>
                <w:szCs w:val="22"/>
              </w:rPr>
              <w:t xml:space="preserve">Из запроса не ясно, какие именно положения, указанные в п. 4.1 Части </w:t>
            </w:r>
            <w:r w:rsidRPr="006D67DA">
              <w:rPr>
                <w:rFonts w:eastAsia="Calibri"/>
                <w:sz w:val="22"/>
                <w:szCs w:val="22"/>
                <w:lang w:val="en-US"/>
              </w:rPr>
              <w:t>III</w:t>
            </w:r>
            <w:r w:rsidRPr="006D67DA">
              <w:rPr>
                <w:rFonts w:eastAsia="Calibri"/>
                <w:sz w:val="22"/>
                <w:szCs w:val="22"/>
              </w:rPr>
              <w:t xml:space="preserve"> «Описание объекта закупки»</w:t>
            </w:r>
            <w:r w:rsidR="006F68E8" w:rsidRPr="006D67DA">
              <w:rPr>
                <w:rFonts w:eastAsia="Calibri"/>
                <w:sz w:val="22"/>
                <w:szCs w:val="22"/>
              </w:rPr>
              <w:t xml:space="preserve"> конкурсной документации</w:t>
            </w:r>
            <w:r w:rsidRPr="006D67DA">
              <w:rPr>
                <w:rFonts w:eastAsia="Calibri"/>
                <w:sz w:val="22"/>
                <w:szCs w:val="22"/>
              </w:rPr>
              <w:t xml:space="preserve">, требуют разъяснения. Кроме того, пунктом 4 </w:t>
            </w:r>
            <w:r w:rsidR="00C70599" w:rsidRPr="006D67DA">
              <w:rPr>
                <w:rFonts w:eastAsia="Calibri"/>
                <w:sz w:val="22"/>
                <w:szCs w:val="22"/>
              </w:rPr>
              <w:t xml:space="preserve">Части </w:t>
            </w:r>
            <w:r w:rsidR="00C70599" w:rsidRPr="006D67DA">
              <w:rPr>
                <w:rFonts w:eastAsia="Calibri"/>
                <w:sz w:val="22"/>
                <w:szCs w:val="22"/>
                <w:lang w:val="en-US"/>
              </w:rPr>
              <w:t>III</w:t>
            </w:r>
            <w:r w:rsidR="00C70599" w:rsidRPr="006D67DA">
              <w:rPr>
                <w:rFonts w:eastAsia="Calibri"/>
                <w:sz w:val="22"/>
                <w:szCs w:val="22"/>
              </w:rPr>
              <w:t xml:space="preserve"> «Описание объекта закупки» конкурсной документации</w:t>
            </w:r>
            <w:r w:rsidRPr="006D67DA">
              <w:rPr>
                <w:rFonts w:eastAsia="Calibri"/>
                <w:sz w:val="22"/>
                <w:szCs w:val="22"/>
              </w:rPr>
              <w:t xml:space="preserve">  установлены основные направления и перечень работ в полном объеме.</w:t>
            </w:r>
          </w:p>
        </w:tc>
      </w:tr>
      <w:tr w:rsidR="006F68E8" w:rsidRPr="006D67DA" w:rsidTr="00A95CDA">
        <w:tc>
          <w:tcPr>
            <w:tcW w:w="567" w:type="dxa"/>
            <w:shd w:val="clear" w:color="auto" w:fill="auto"/>
          </w:tcPr>
          <w:p w:rsidR="006F68E8" w:rsidRPr="006D67DA" w:rsidRDefault="006F68E8" w:rsidP="00FE0DAB">
            <w:pPr>
              <w:jc w:val="center"/>
              <w:rPr>
                <w:rFonts w:eastAsia="Calibri"/>
                <w:sz w:val="22"/>
                <w:szCs w:val="22"/>
              </w:rPr>
            </w:pPr>
            <w:r w:rsidRPr="006D67D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F68E8" w:rsidRPr="006D67DA" w:rsidRDefault="006F68E8" w:rsidP="00FE0DAB">
            <w:pPr>
              <w:jc w:val="center"/>
              <w:rPr>
                <w:rFonts w:eastAsia="Calibri"/>
                <w:sz w:val="22"/>
                <w:szCs w:val="22"/>
              </w:rPr>
            </w:pPr>
            <w:r w:rsidRPr="006D67DA">
              <w:rPr>
                <w:rFonts w:eastAsia="Calibri"/>
                <w:sz w:val="22"/>
                <w:szCs w:val="22"/>
              </w:rPr>
              <w:t xml:space="preserve">Часть </w:t>
            </w:r>
            <w:r w:rsidRPr="006D67DA">
              <w:rPr>
                <w:rFonts w:eastAsia="Calibri"/>
                <w:sz w:val="22"/>
                <w:szCs w:val="22"/>
                <w:lang w:val="en-US"/>
              </w:rPr>
              <w:t xml:space="preserve">II </w:t>
            </w:r>
            <w:r w:rsidRPr="006D67DA">
              <w:rPr>
                <w:rFonts w:eastAsia="Calibri"/>
                <w:sz w:val="22"/>
                <w:szCs w:val="22"/>
              </w:rPr>
              <w:t>«</w:t>
            </w:r>
            <w:r w:rsidR="00FF237E">
              <w:rPr>
                <w:rFonts w:eastAsia="Calibri"/>
                <w:sz w:val="22"/>
                <w:szCs w:val="22"/>
              </w:rPr>
              <w:t>Проект контракта»</w:t>
            </w:r>
          </w:p>
        </w:tc>
        <w:tc>
          <w:tcPr>
            <w:tcW w:w="1559" w:type="dxa"/>
            <w:shd w:val="clear" w:color="auto" w:fill="auto"/>
          </w:tcPr>
          <w:p w:rsidR="006F68E8" w:rsidRPr="006D67DA" w:rsidRDefault="006F68E8" w:rsidP="00FE0DAB">
            <w:pPr>
              <w:jc w:val="center"/>
              <w:rPr>
                <w:rFonts w:eastAsia="Calibri"/>
                <w:sz w:val="22"/>
                <w:szCs w:val="22"/>
              </w:rPr>
            </w:pPr>
            <w:r w:rsidRPr="006D67DA">
              <w:rPr>
                <w:rFonts w:eastAsia="Calibri"/>
                <w:sz w:val="22"/>
                <w:szCs w:val="22"/>
              </w:rPr>
              <w:t>п. 4.3.2.</w:t>
            </w:r>
          </w:p>
        </w:tc>
        <w:tc>
          <w:tcPr>
            <w:tcW w:w="3544" w:type="dxa"/>
            <w:shd w:val="clear" w:color="auto" w:fill="auto"/>
          </w:tcPr>
          <w:p w:rsidR="006F68E8" w:rsidRPr="006D67DA" w:rsidRDefault="006F68E8" w:rsidP="00FE0DAB">
            <w:pPr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6D67DA">
              <w:rPr>
                <w:rFonts w:eastAsia="Calibri"/>
                <w:sz w:val="22"/>
                <w:szCs w:val="22"/>
              </w:rPr>
              <w:t>Укажите порядок и сроки предоставления Исполнителю необходимых для корректировки Стратегии развития городского округа Иваново до 2020 года данных (отчеты отраслевых структурных подразделений, статистические данные, прочая аналитика), их формат (бумажный носитель, электронные версии (</w:t>
            </w:r>
            <w:r w:rsidRPr="006D67DA">
              <w:rPr>
                <w:rFonts w:eastAsia="Calibri"/>
                <w:sz w:val="22"/>
                <w:szCs w:val="22"/>
                <w:lang w:val="en-US"/>
              </w:rPr>
              <w:t>MS</w:t>
            </w:r>
            <w:r w:rsidRPr="006D67DA">
              <w:rPr>
                <w:rFonts w:eastAsia="Calibri"/>
                <w:sz w:val="22"/>
                <w:szCs w:val="22"/>
              </w:rPr>
              <w:t xml:space="preserve"> </w:t>
            </w:r>
            <w:r w:rsidRPr="006D67DA">
              <w:rPr>
                <w:rFonts w:eastAsia="Calibri"/>
                <w:sz w:val="22"/>
                <w:szCs w:val="22"/>
                <w:lang w:val="en-US"/>
              </w:rPr>
              <w:t>Word</w:t>
            </w:r>
            <w:r w:rsidRPr="006D67DA">
              <w:rPr>
                <w:rFonts w:eastAsia="Calibri"/>
                <w:sz w:val="22"/>
                <w:szCs w:val="22"/>
              </w:rPr>
              <w:t xml:space="preserve"> или </w:t>
            </w:r>
            <w:proofErr w:type="spellStart"/>
            <w:r w:rsidRPr="006D67DA">
              <w:rPr>
                <w:rFonts w:eastAsia="Calibri"/>
                <w:sz w:val="22"/>
                <w:szCs w:val="22"/>
                <w:lang w:val="en-US"/>
              </w:rPr>
              <w:t>pdf</w:t>
            </w:r>
            <w:proofErr w:type="spellEnd"/>
            <w:r w:rsidR="006D67DA">
              <w:rPr>
                <w:rFonts w:eastAsia="Calibri"/>
                <w:sz w:val="22"/>
                <w:szCs w:val="22"/>
              </w:rPr>
              <w:t>).</w:t>
            </w:r>
            <w:proofErr w:type="gramEnd"/>
          </w:p>
        </w:tc>
        <w:tc>
          <w:tcPr>
            <w:tcW w:w="3969" w:type="dxa"/>
          </w:tcPr>
          <w:p w:rsidR="006F68E8" w:rsidRPr="006D67DA" w:rsidRDefault="006F68E8" w:rsidP="006F68E8">
            <w:pPr>
              <w:jc w:val="both"/>
              <w:rPr>
                <w:rFonts w:eastAsia="Calibri"/>
                <w:sz w:val="22"/>
                <w:szCs w:val="22"/>
              </w:rPr>
            </w:pPr>
            <w:r w:rsidRPr="006D67DA">
              <w:rPr>
                <w:rFonts w:eastAsia="Calibri"/>
                <w:sz w:val="22"/>
                <w:szCs w:val="22"/>
              </w:rPr>
              <w:t xml:space="preserve">В соответствии с п.4.1.7. Части </w:t>
            </w:r>
            <w:r w:rsidRPr="006D67DA">
              <w:rPr>
                <w:rFonts w:eastAsia="Calibri"/>
                <w:sz w:val="22"/>
                <w:szCs w:val="22"/>
                <w:lang w:val="en-US"/>
              </w:rPr>
              <w:t>II</w:t>
            </w:r>
            <w:r w:rsidRPr="006D67DA">
              <w:rPr>
                <w:rFonts w:eastAsia="Calibri"/>
                <w:sz w:val="22"/>
                <w:szCs w:val="22"/>
              </w:rPr>
              <w:t xml:space="preserve"> «Проект контракта»</w:t>
            </w:r>
            <w:r w:rsidR="00C70599" w:rsidRPr="006D67DA">
              <w:rPr>
                <w:rFonts w:eastAsia="Calibri"/>
                <w:sz w:val="22"/>
                <w:szCs w:val="22"/>
              </w:rPr>
              <w:t xml:space="preserve"> конкурсной документации</w:t>
            </w:r>
            <w:r w:rsidRPr="006D67DA">
              <w:rPr>
                <w:rFonts w:eastAsia="Calibri"/>
                <w:sz w:val="22"/>
                <w:szCs w:val="22"/>
              </w:rPr>
              <w:t xml:space="preserve"> в течение 5 календарных дней со дня подписания контракта Исполнитель направляет Заказчику на согласование план-график выполнения работы (Приложение № 3 к контракту). Следовательно, положениями контракта предусмотрено право Исполнителя</w:t>
            </w:r>
            <w:bookmarkStart w:id="0" w:name="_GoBack"/>
            <w:bookmarkEnd w:id="0"/>
            <w:r w:rsidRPr="006D67DA">
              <w:rPr>
                <w:rFonts w:eastAsia="Calibri"/>
                <w:sz w:val="22"/>
                <w:szCs w:val="22"/>
              </w:rPr>
              <w:t xml:space="preserve"> на определение сроков исполнения отдельных этапов работ, в том числе согласование в плане-графике, который будет являться неотъемлемой частью контракта, сроков передачи необходимых для исполнения обязательств по контракту документов и информации.</w:t>
            </w:r>
          </w:p>
          <w:p w:rsidR="00C70599" w:rsidRPr="006D67DA" w:rsidRDefault="00C70599" w:rsidP="006F68E8">
            <w:pPr>
              <w:jc w:val="both"/>
              <w:rPr>
                <w:rFonts w:eastAsia="Calibri"/>
                <w:sz w:val="22"/>
                <w:szCs w:val="22"/>
              </w:rPr>
            </w:pPr>
            <w:r w:rsidRPr="006D67DA">
              <w:rPr>
                <w:rFonts w:eastAsia="Calibri"/>
                <w:sz w:val="22"/>
                <w:szCs w:val="22"/>
              </w:rPr>
              <w:t>Остальные условия, указанные в п.2 запроса на разъяснения положений конкурсной документации, определяются условиями исполнения контракта, предложенными победителем конкурса в заявке на участие в конкурсе (методологией выполнения работ).</w:t>
            </w:r>
          </w:p>
        </w:tc>
      </w:tr>
      <w:tr w:rsidR="00C70599" w:rsidRPr="006D67DA" w:rsidTr="00A95CDA">
        <w:tc>
          <w:tcPr>
            <w:tcW w:w="567" w:type="dxa"/>
            <w:shd w:val="clear" w:color="auto" w:fill="auto"/>
          </w:tcPr>
          <w:p w:rsidR="00C70599" w:rsidRPr="006D67DA" w:rsidRDefault="00C70599" w:rsidP="00FE0DAB">
            <w:pPr>
              <w:jc w:val="center"/>
              <w:rPr>
                <w:rFonts w:eastAsia="Calibri"/>
                <w:sz w:val="22"/>
                <w:szCs w:val="22"/>
              </w:rPr>
            </w:pPr>
            <w:r w:rsidRPr="006D67D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70599" w:rsidRPr="006D67DA" w:rsidRDefault="00C70599" w:rsidP="00FE0DAB">
            <w:pPr>
              <w:jc w:val="center"/>
              <w:rPr>
                <w:rFonts w:eastAsia="Calibri"/>
                <w:sz w:val="22"/>
                <w:szCs w:val="22"/>
              </w:rPr>
            </w:pPr>
            <w:r w:rsidRPr="006D67DA">
              <w:rPr>
                <w:rFonts w:eastAsia="Calibri"/>
                <w:sz w:val="22"/>
                <w:szCs w:val="22"/>
              </w:rPr>
              <w:t xml:space="preserve">Часть </w:t>
            </w:r>
            <w:r w:rsidRPr="006D67DA">
              <w:rPr>
                <w:rFonts w:eastAsia="Calibri"/>
                <w:sz w:val="22"/>
                <w:szCs w:val="22"/>
                <w:lang w:val="en-US"/>
              </w:rPr>
              <w:t xml:space="preserve">II  </w:t>
            </w:r>
            <w:r w:rsidRPr="006D67DA">
              <w:rPr>
                <w:rFonts w:eastAsia="Calibri"/>
                <w:sz w:val="22"/>
                <w:szCs w:val="22"/>
              </w:rPr>
              <w:t>«Проект контракта»</w:t>
            </w:r>
          </w:p>
        </w:tc>
        <w:tc>
          <w:tcPr>
            <w:tcW w:w="1559" w:type="dxa"/>
            <w:shd w:val="clear" w:color="auto" w:fill="auto"/>
          </w:tcPr>
          <w:p w:rsidR="00C70599" w:rsidRPr="006D67DA" w:rsidRDefault="00C70599" w:rsidP="00FE0DAB">
            <w:pPr>
              <w:jc w:val="center"/>
              <w:rPr>
                <w:rFonts w:eastAsia="Calibri"/>
                <w:sz w:val="22"/>
                <w:szCs w:val="22"/>
              </w:rPr>
            </w:pPr>
            <w:r w:rsidRPr="006D67DA">
              <w:rPr>
                <w:rFonts w:eastAsia="Calibri"/>
                <w:sz w:val="22"/>
                <w:szCs w:val="22"/>
              </w:rPr>
              <w:t>п. 5</w:t>
            </w:r>
            <w:r w:rsidR="00BD70C0" w:rsidRPr="006D67DA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C70599" w:rsidRPr="006D67DA" w:rsidRDefault="00C70599" w:rsidP="00C70599">
            <w:pPr>
              <w:jc w:val="both"/>
              <w:rPr>
                <w:rFonts w:eastAsia="Calibri"/>
                <w:sz w:val="22"/>
                <w:szCs w:val="22"/>
              </w:rPr>
            </w:pPr>
            <w:r w:rsidRPr="006D67DA">
              <w:rPr>
                <w:rFonts w:eastAsia="Calibri"/>
                <w:sz w:val="22"/>
                <w:szCs w:val="22"/>
              </w:rPr>
              <w:t>Укажите порядок приёмки и согласования работы:  сроки и перечень согласующих органов, сроки согласования; какой орган и по каким критериям будет определять, выполнена работа или нет.</w:t>
            </w:r>
          </w:p>
        </w:tc>
        <w:tc>
          <w:tcPr>
            <w:tcW w:w="3969" w:type="dxa"/>
          </w:tcPr>
          <w:p w:rsidR="00C70599" w:rsidRPr="006D67DA" w:rsidRDefault="00C70599" w:rsidP="00BD70C0">
            <w:pPr>
              <w:jc w:val="both"/>
              <w:rPr>
                <w:rFonts w:eastAsia="Calibri"/>
                <w:sz w:val="22"/>
                <w:szCs w:val="22"/>
              </w:rPr>
            </w:pPr>
            <w:r w:rsidRPr="006D67DA">
              <w:rPr>
                <w:rFonts w:eastAsia="Calibri"/>
                <w:sz w:val="22"/>
                <w:szCs w:val="22"/>
              </w:rPr>
              <w:t xml:space="preserve">Порядок и сроки </w:t>
            </w:r>
            <w:r w:rsidR="00BD70C0" w:rsidRPr="006D67DA">
              <w:rPr>
                <w:rFonts w:eastAsia="Calibri"/>
                <w:sz w:val="22"/>
                <w:szCs w:val="22"/>
              </w:rPr>
              <w:t xml:space="preserve">приемки работ определены пунктом 5 </w:t>
            </w:r>
            <w:r w:rsidR="00BD70C0" w:rsidRPr="006D67DA">
              <w:rPr>
                <w:rFonts w:eastAsia="Calibri"/>
                <w:sz w:val="22"/>
                <w:szCs w:val="22"/>
              </w:rPr>
              <w:t xml:space="preserve">Части </w:t>
            </w:r>
            <w:r w:rsidR="00BD70C0" w:rsidRPr="006D67DA">
              <w:rPr>
                <w:rFonts w:eastAsia="Calibri"/>
                <w:sz w:val="22"/>
                <w:szCs w:val="22"/>
                <w:lang w:val="en-US"/>
              </w:rPr>
              <w:t>II</w:t>
            </w:r>
            <w:r w:rsidR="00BD70C0" w:rsidRPr="006D67DA">
              <w:rPr>
                <w:rFonts w:eastAsia="Calibri"/>
                <w:sz w:val="22"/>
                <w:szCs w:val="22"/>
              </w:rPr>
              <w:t xml:space="preserve"> «Проект контракта» конкурсной документации</w:t>
            </w:r>
            <w:r w:rsidR="00BD70C0" w:rsidRPr="006D67DA">
              <w:rPr>
                <w:rFonts w:eastAsia="Calibri"/>
                <w:sz w:val="22"/>
                <w:szCs w:val="22"/>
              </w:rPr>
              <w:t xml:space="preserve">, приемку работы осуществляет Заказчик, параметры выполнения работ определены Техническим заданием (п.1 части </w:t>
            </w:r>
            <w:r w:rsidR="00BD70C0" w:rsidRPr="006D67DA">
              <w:rPr>
                <w:rFonts w:eastAsia="Calibri"/>
                <w:sz w:val="22"/>
                <w:szCs w:val="22"/>
                <w:lang w:val="en-US"/>
              </w:rPr>
              <w:t>III</w:t>
            </w:r>
            <w:r w:rsidR="00BD70C0" w:rsidRPr="006D67DA">
              <w:rPr>
                <w:rFonts w:eastAsia="Calibri"/>
                <w:sz w:val="22"/>
                <w:szCs w:val="22"/>
              </w:rPr>
              <w:t xml:space="preserve"> «Описание объекта закупки» конкурсной документации).</w:t>
            </w:r>
          </w:p>
        </w:tc>
      </w:tr>
      <w:tr w:rsidR="00BD70C0" w:rsidRPr="006D67DA" w:rsidTr="006D67DA">
        <w:trPr>
          <w:trHeight w:val="2258"/>
        </w:trPr>
        <w:tc>
          <w:tcPr>
            <w:tcW w:w="567" w:type="dxa"/>
            <w:shd w:val="clear" w:color="auto" w:fill="auto"/>
          </w:tcPr>
          <w:p w:rsidR="00BD70C0" w:rsidRPr="006D67DA" w:rsidRDefault="00BD70C0" w:rsidP="00FE0DAB">
            <w:pPr>
              <w:jc w:val="center"/>
              <w:rPr>
                <w:rFonts w:eastAsia="Calibri"/>
                <w:sz w:val="22"/>
                <w:szCs w:val="22"/>
              </w:rPr>
            </w:pPr>
            <w:r w:rsidRPr="006D67DA">
              <w:rPr>
                <w:rFonts w:eastAsia="Calibri"/>
                <w:sz w:val="22"/>
                <w:szCs w:val="22"/>
              </w:rPr>
              <w:lastRenderedPageBreak/>
              <w:t xml:space="preserve">4 </w:t>
            </w:r>
          </w:p>
        </w:tc>
        <w:tc>
          <w:tcPr>
            <w:tcW w:w="1560" w:type="dxa"/>
            <w:shd w:val="clear" w:color="auto" w:fill="auto"/>
          </w:tcPr>
          <w:p w:rsidR="00BD70C0" w:rsidRPr="006D67DA" w:rsidRDefault="00BD70C0" w:rsidP="00FE0DAB">
            <w:pPr>
              <w:jc w:val="center"/>
              <w:rPr>
                <w:rFonts w:eastAsia="Calibri"/>
                <w:sz w:val="22"/>
                <w:szCs w:val="22"/>
              </w:rPr>
            </w:pPr>
            <w:r w:rsidRPr="006D67DA">
              <w:rPr>
                <w:rFonts w:eastAsia="Calibri"/>
                <w:sz w:val="22"/>
                <w:szCs w:val="22"/>
              </w:rPr>
              <w:t xml:space="preserve">Часть </w:t>
            </w:r>
            <w:r w:rsidRPr="006D67DA">
              <w:rPr>
                <w:rFonts w:eastAsia="Calibri"/>
                <w:sz w:val="22"/>
                <w:szCs w:val="22"/>
                <w:lang w:val="en-US"/>
              </w:rPr>
              <w:t>III</w:t>
            </w:r>
            <w:r w:rsidRPr="006D67DA">
              <w:rPr>
                <w:rFonts w:eastAsia="Calibri"/>
                <w:sz w:val="22"/>
                <w:szCs w:val="22"/>
              </w:rPr>
              <w:t xml:space="preserve"> «Описание объекта закупки»</w:t>
            </w:r>
          </w:p>
        </w:tc>
        <w:tc>
          <w:tcPr>
            <w:tcW w:w="1559" w:type="dxa"/>
            <w:shd w:val="clear" w:color="auto" w:fill="auto"/>
          </w:tcPr>
          <w:p w:rsidR="00BD70C0" w:rsidRPr="006D67DA" w:rsidRDefault="00BD70C0" w:rsidP="00FE0DAB">
            <w:pPr>
              <w:jc w:val="center"/>
              <w:rPr>
                <w:rFonts w:eastAsia="Calibri"/>
                <w:sz w:val="22"/>
                <w:szCs w:val="22"/>
              </w:rPr>
            </w:pPr>
            <w:r w:rsidRPr="006D67DA">
              <w:rPr>
                <w:rFonts w:eastAsia="Calibri"/>
                <w:sz w:val="22"/>
                <w:szCs w:val="22"/>
              </w:rPr>
              <w:t>п. 4.4.</w:t>
            </w:r>
          </w:p>
        </w:tc>
        <w:tc>
          <w:tcPr>
            <w:tcW w:w="3544" w:type="dxa"/>
            <w:shd w:val="clear" w:color="auto" w:fill="auto"/>
          </w:tcPr>
          <w:p w:rsidR="00BD70C0" w:rsidRPr="006D67DA" w:rsidRDefault="00BD70C0" w:rsidP="00C70599">
            <w:pPr>
              <w:jc w:val="both"/>
              <w:rPr>
                <w:rFonts w:eastAsia="Calibri"/>
                <w:sz w:val="22"/>
                <w:szCs w:val="22"/>
              </w:rPr>
            </w:pPr>
            <w:r w:rsidRPr="006D67DA">
              <w:rPr>
                <w:rFonts w:eastAsia="Calibri"/>
                <w:sz w:val="22"/>
                <w:szCs w:val="22"/>
              </w:rPr>
              <w:t>Укажите формат, сроки (период, график) участия Исполнителя в мероприятиях.</w:t>
            </w:r>
          </w:p>
          <w:p w:rsidR="00BD70C0" w:rsidRPr="006D67DA" w:rsidRDefault="00BD70C0" w:rsidP="00C70599">
            <w:pPr>
              <w:jc w:val="both"/>
              <w:rPr>
                <w:rFonts w:eastAsia="Calibri"/>
                <w:sz w:val="22"/>
                <w:szCs w:val="22"/>
              </w:rPr>
            </w:pPr>
            <w:r w:rsidRPr="006D67DA">
              <w:rPr>
                <w:rFonts w:eastAsia="Calibri"/>
                <w:sz w:val="22"/>
                <w:szCs w:val="22"/>
              </w:rPr>
              <w:t>Входят ли сроки реализации мероприятий п. 4.4. в срок корректировки Стратегии развития городского округа Иваново до 2020 года (90 календарных дней)?</w:t>
            </w:r>
          </w:p>
          <w:p w:rsidR="00BD70C0" w:rsidRPr="006D67DA" w:rsidRDefault="00BD70C0" w:rsidP="00C70599">
            <w:pPr>
              <w:jc w:val="both"/>
              <w:rPr>
                <w:rFonts w:eastAsia="Calibri"/>
                <w:sz w:val="22"/>
                <w:szCs w:val="22"/>
              </w:rPr>
            </w:pPr>
            <w:r w:rsidRPr="006D67DA">
              <w:rPr>
                <w:rFonts w:eastAsia="Calibri"/>
                <w:sz w:val="22"/>
                <w:szCs w:val="22"/>
              </w:rPr>
              <w:t>Если да, продляется ли срок выполнения работы в случае переносов заседаний (слушаний) или назначении дополнительных заседаний?</w:t>
            </w:r>
          </w:p>
        </w:tc>
        <w:tc>
          <w:tcPr>
            <w:tcW w:w="3969" w:type="dxa"/>
          </w:tcPr>
          <w:p w:rsidR="00BD70C0" w:rsidRPr="006D67DA" w:rsidRDefault="00BD70C0" w:rsidP="00BD70C0">
            <w:pPr>
              <w:jc w:val="both"/>
              <w:rPr>
                <w:rFonts w:eastAsia="Calibri"/>
                <w:sz w:val="22"/>
                <w:szCs w:val="22"/>
              </w:rPr>
            </w:pPr>
            <w:r w:rsidRPr="006D67DA">
              <w:rPr>
                <w:rFonts w:eastAsia="Calibri"/>
                <w:sz w:val="22"/>
                <w:szCs w:val="22"/>
              </w:rPr>
              <w:t xml:space="preserve">Конкретные сроки (период и график) участия Исполнителя в мероприятиях не могут быть определены конкурсной документацией, поскольку они зависят от сроков </w:t>
            </w:r>
            <w:r w:rsidR="006D67DA" w:rsidRPr="006D67DA">
              <w:rPr>
                <w:rFonts w:eastAsia="Calibri"/>
                <w:sz w:val="22"/>
                <w:szCs w:val="22"/>
              </w:rPr>
              <w:t>выполнения Исполнителем</w:t>
            </w:r>
            <w:r w:rsidRPr="006D67DA">
              <w:rPr>
                <w:rFonts w:eastAsia="Calibri"/>
                <w:sz w:val="22"/>
                <w:szCs w:val="22"/>
              </w:rPr>
              <w:t xml:space="preserve"> работы, а так же зависят от регламентов работы Правительства </w:t>
            </w:r>
            <w:r w:rsidR="006D67DA" w:rsidRPr="006D67DA">
              <w:rPr>
                <w:rFonts w:eastAsia="Calibri"/>
                <w:sz w:val="22"/>
                <w:szCs w:val="22"/>
              </w:rPr>
              <w:t>Ивановской области и Ивановской городской Думы.</w:t>
            </w:r>
          </w:p>
          <w:p w:rsidR="006D67DA" w:rsidRPr="006D67DA" w:rsidRDefault="006D67DA" w:rsidP="00BD70C0">
            <w:pPr>
              <w:jc w:val="both"/>
              <w:rPr>
                <w:rFonts w:eastAsia="Calibri"/>
                <w:sz w:val="22"/>
                <w:szCs w:val="22"/>
              </w:rPr>
            </w:pPr>
            <w:r w:rsidRPr="006D67DA">
              <w:rPr>
                <w:rFonts w:eastAsia="Calibri"/>
                <w:sz w:val="22"/>
                <w:szCs w:val="22"/>
              </w:rPr>
              <w:t xml:space="preserve">Сроки реализации мероприятий п.4.4. Части </w:t>
            </w:r>
            <w:r w:rsidRPr="006D67DA">
              <w:rPr>
                <w:rFonts w:eastAsia="Calibri"/>
                <w:sz w:val="22"/>
                <w:szCs w:val="22"/>
                <w:lang w:val="en-US"/>
              </w:rPr>
              <w:t>III</w:t>
            </w:r>
            <w:r w:rsidRPr="006D67DA">
              <w:rPr>
                <w:rFonts w:eastAsia="Calibri"/>
                <w:sz w:val="22"/>
                <w:szCs w:val="22"/>
              </w:rPr>
              <w:t xml:space="preserve"> «Описание объекта закупки» конкурсной документации не входят в срок корректировки Стратегии развития городского округа Иваново до 2020 года.</w:t>
            </w:r>
          </w:p>
        </w:tc>
      </w:tr>
    </w:tbl>
    <w:p w:rsidR="00C4563E" w:rsidRPr="006D67DA" w:rsidRDefault="00FF237E">
      <w:pPr>
        <w:rPr>
          <w:sz w:val="22"/>
          <w:szCs w:val="22"/>
        </w:rPr>
      </w:pPr>
    </w:p>
    <w:sectPr w:rsidR="00C4563E" w:rsidRPr="006D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C3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7DA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8E8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5CDA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0C0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0599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4FC3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1A3B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0558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237E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C3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C3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3</cp:revision>
  <dcterms:created xsi:type="dcterms:W3CDTF">2015-01-28T07:14:00Z</dcterms:created>
  <dcterms:modified xsi:type="dcterms:W3CDTF">2015-01-28T07:17:00Z</dcterms:modified>
</cp:coreProperties>
</file>