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1E" w:rsidRDefault="006C761E" w:rsidP="006C761E">
      <w:pPr>
        <w:pStyle w:val="Normal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6C761E" w:rsidRDefault="006C761E" w:rsidP="006C761E">
      <w:pPr>
        <w:pStyle w:val="Normal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6C761E" w:rsidRDefault="006C761E" w:rsidP="006C761E">
      <w:pPr>
        <w:pStyle w:val="Normal"/>
        <w:spacing w:before="0" w:after="0"/>
        <w:jc w:val="center"/>
        <w:rPr>
          <w:szCs w:val="24"/>
        </w:rPr>
      </w:pPr>
    </w:p>
    <w:p w:rsidR="006C761E" w:rsidRDefault="006C761E" w:rsidP="006C761E">
      <w:pPr>
        <w:pStyle w:val="Normal"/>
        <w:spacing w:before="0" w:after="0"/>
        <w:rPr>
          <w:szCs w:val="24"/>
        </w:rPr>
      </w:pPr>
    </w:p>
    <w:p w:rsidR="006C761E" w:rsidRDefault="006C761E" w:rsidP="006C761E">
      <w:pPr>
        <w:pStyle w:val="Normal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6C761E" w:rsidRDefault="006C761E" w:rsidP="006C761E">
      <w:pPr>
        <w:pStyle w:val="Normal"/>
        <w:spacing w:before="0" w:after="0"/>
        <w:rPr>
          <w:szCs w:val="24"/>
        </w:rPr>
      </w:pPr>
      <w:r>
        <w:rPr>
          <w:szCs w:val="24"/>
        </w:rPr>
        <w:t>Дата изучения рынка: 28.04.2011 г.</w:t>
      </w:r>
    </w:p>
    <w:p w:rsidR="006C761E" w:rsidRDefault="006C761E" w:rsidP="006C761E">
      <w:pPr>
        <w:pStyle w:val="Normal"/>
        <w:spacing w:before="0" w:after="0"/>
        <w:rPr>
          <w:szCs w:val="24"/>
        </w:rPr>
      </w:pPr>
    </w:p>
    <w:p w:rsidR="006C761E" w:rsidRDefault="006C761E" w:rsidP="006C761E">
      <w:pPr>
        <w:pStyle w:val="Normal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6C761E" w:rsidRDefault="006C761E" w:rsidP="006C761E">
      <w:pPr>
        <w:pStyle w:val="Normal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6C761E" w:rsidTr="006C7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6C761E" w:rsidTr="006C7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ОГУП «ФАРМАЦИЯ»</w:t>
            </w:r>
          </w:p>
        </w:tc>
      </w:tr>
      <w:tr w:rsidR="006C761E" w:rsidTr="006C7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«Мир лекарств»</w:t>
            </w:r>
          </w:p>
        </w:tc>
      </w:tr>
      <w:tr w:rsidR="006C761E" w:rsidTr="006C7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spacing w:before="0" w:after="0"/>
              <w:rPr>
                <w:szCs w:val="24"/>
              </w:rPr>
            </w:pPr>
            <w:r>
              <w:rPr>
                <w:szCs w:val="24"/>
              </w:rPr>
              <w:t>ЗАО «Р-Фарм»</w:t>
            </w:r>
          </w:p>
        </w:tc>
      </w:tr>
    </w:tbl>
    <w:p w:rsidR="006C761E" w:rsidRDefault="006C761E" w:rsidP="006C761E">
      <w:pPr>
        <w:pStyle w:val="Normal"/>
        <w:spacing w:before="0" w:after="0"/>
        <w:jc w:val="center"/>
        <w:rPr>
          <w:szCs w:val="24"/>
        </w:rPr>
      </w:pPr>
    </w:p>
    <w:p w:rsidR="006C761E" w:rsidRDefault="006C761E" w:rsidP="006C761E">
      <w:pPr>
        <w:pStyle w:val="Normal"/>
        <w:spacing w:before="0" w:after="0"/>
        <w:jc w:val="center"/>
        <w:rPr>
          <w:szCs w:val="24"/>
        </w:rPr>
      </w:pPr>
    </w:p>
    <w:p w:rsidR="006C761E" w:rsidRDefault="006C761E" w:rsidP="006C761E">
      <w:pPr>
        <w:pStyle w:val="Normal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969"/>
        <w:gridCol w:w="1951"/>
        <w:gridCol w:w="910"/>
        <w:gridCol w:w="540"/>
        <w:gridCol w:w="720"/>
        <w:gridCol w:w="1543"/>
      </w:tblGrid>
      <w:tr w:rsidR="006C761E" w:rsidTr="006C761E">
        <w:trPr>
          <w:cantSplit/>
          <w:trHeight w:val="465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товаров (работ, услуг)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  <w:t>Ед.изм.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  <w:t>Характеристика товаров (работ, услуг)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  <w:t>Цена участника исследования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  <w:t>Среднерыночная цена товара (работ, услуг)</w:t>
            </w:r>
          </w:p>
        </w:tc>
      </w:tr>
      <w:tr w:rsidR="006C761E" w:rsidTr="006C761E">
        <w:trPr>
          <w:cantSplit/>
          <w:trHeight w:val="555"/>
        </w:trPr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1E" w:rsidRDefault="006C761E">
            <w:pPr>
              <w:rPr>
                <w:sz w:val="24"/>
                <w:szCs w:val="24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1E" w:rsidRDefault="006C761E">
            <w:pPr>
              <w:rPr>
                <w:sz w:val="24"/>
                <w:szCs w:val="24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1E" w:rsidRDefault="006C761E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  <w:t>№ 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  <w:t>№ 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  <w:t>№ 3</w:t>
            </w: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1E" w:rsidRDefault="006C761E">
            <w:pPr>
              <w:rPr>
                <w:sz w:val="24"/>
                <w:szCs w:val="24"/>
              </w:rPr>
            </w:pPr>
          </w:p>
        </w:tc>
      </w:tr>
      <w:tr w:rsidR="006C761E" w:rsidTr="006C761E"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1E" w:rsidRDefault="006C76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Поставка медикаментов влияющих на процессы обмена, препараты гормональные</w:t>
            </w:r>
          </w:p>
          <w:p w:rsidR="006C761E" w:rsidRDefault="006C761E"/>
          <w:p w:rsidR="006C761E" w:rsidRDefault="006C761E">
            <w:r>
              <w:t>1. Инозин (МНН) 2423250</w:t>
            </w:r>
          </w:p>
          <w:p w:rsidR="006C761E" w:rsidRDefault="006C761E">
            <w:r>
              <w:t>1 ампула с 10 мл раствора для инъекций содержит инозина 200 мг; в картонной коробке 10 шт.</w:t>
            </w:r>
          </w:p>
          <w:p w:rsidR="006C761E" w:rsidRDefault="006C761E">
            <w:pPr>
              <w:rPr>
                <w:szCs w:val="24"/>
              </w:rPr>
            </w:pPr>
            <w:r>
              <w:rPr>
                <w:szCs w:val="24"/>
              </w:rPr>
              <w:t>Фармакологическое действие - антиаритмическое, коронародилатирующее.</w:t>
            </w:r>
          </w:p>
          <w:p w:rsidR="006C761E" w:rsidRDefault="006C761E">
            <w:pPr>
              <w:rPr>
                <w:szCs w:val="24"/>
              </w:rPr>
            </w:pPr>
          </w:p>
          <w:p w:rsidR="006C761E" w:rsidRDefault="006C761E">
            <w:pPr>
              <w:rPr>
                <w:szCs w:val="24"/>
              </w:rPr>
            </w:pPr>
            <w:r>
              <w:rPr>
                <w:szCs w:val="24"/>
              </w:rPr>
              <w:t>2. Магния Сульфат (МНН) 2423250</w:t>
            </w:r>
          </w:p>
          <w:p w:rsidR="006C761E" w:rsidRDefault="006C761E">
            <w:r>
              <w:t>1 ампула с 10 мл раствора для инъекций содержит магния сульфата 2,5 г; в коробке 10 шт.</w:t>
            </w:r>
          </w:p>
          <w:p w:rsidR="006C761E" w:rsidRDefault="006C761E">
            <w:pPr>
              <w:rPr>
                <w:szCs w:val="24"/>
              </w:rPr>
            </w:pPr>
            <w:r>
              <w:rPr>
                <w:szCs w:val="24"/>
              </w:rPr>
              <w:t>Фармакологическое действие - седативное, гипотензивное, спазмолитическое, противосудорожное, желчегонное, слабительное.</w:t>
            </w:r>
          </w:p>
          <w:p w:rsidR="006C761E" w:rsidRDefault="006C761E">
            <w:pPr>
              <w:rPr>
                <w:szCs w:val="24"/>
              </w:rPr>
            </w:pPr>
          </w:p>
          <w:p w:rsidR="006C761E" w:rsidRDefault="006C761E">
            <w:pPr>
              <w:rPr>
                <w:szCs w:val="24"/>
              </w:rPr>
            </w:pPr>
            <w:r>
              <w:rPr>
                <w:szCs w:val="24"/>
              </w:rPr>
              <w:t>3. Кальция Хлорид (МНН)  2423256</w:t>
            </w:r>
          </w:p>
          <w:p w:rsidR="006C761E" w:rsidRDefault="006C761E">
            <w:r>
              <w:t>1 ампула с 10 мл раствора для инъекций содержит кальция хлорида 1 г; в картонной коробке 10 шт.</w:t>
            </w:r>
          </w:p>
          <w:p w:rsidR="006C761E" w:rsidRDefault="006C761E">
            <w:pPr>
              <w:rPr>
                <w:szCs w:val="24"/>
              </w:rPr>
            </w:pPr>
            <w:r>
              <w:rPr>
                <w:szCs w:val="24"/>
              </w:rPr>
              <w:t xml:space="preserve">Фармакологическое действие - противовоспалительное, </w:t>
            </w:r>
            <w:r>
              <w:rPr>
                <w:szCs w:val="24"/>
              </w:rPr>
              <w:lastRenderedPageBreak/>
              <w:t>противоаллергическое, гемостатическое.</w:t>
            </w:r>
          </w:p>
          <w:p w:rsidR="006C761E" w:rsidRDefault="006C761E">
            <w:pPr>
              <w:rPr>
                <w:szCs w:val="24"/>
              </w:rPr>
            </w:pPr>
          </w:p>
          <w:p w:rsidR="006C761E" w:rsidRDefault="006C761E">
            <w:pPr>
              <w:rPr>
                <w:szCs w:val="24"/>
              </w:rPr>
            </w:pPr>
            <w:r>
              <w:rPr>
                <w:szCs w:val="24"/>
              </w:rPr>
              <w:t>4. Гепарин Натрия (МНН) 2423253</w:t>
            </w:r>
          </w:p>
          <w:p w:rsidR="006C761E" w:rsidRDefault="006C761E">
            <w:r>
              <w:t>Раствор для инъекций</w:t>
            </w:r>
            <w:r>
              <w:tab/>
              <w:t>5 мл</w:t>
            </w:r>
          </w:p>
          <w:p w:rsidR="006C761E" w:rsidRDefault="006C761E">
            <w:r>
              <w:t>гепарин натрий</w:t>
            </w:r>
            <w:r>
              <w:tab/>
              <w:t>25000 МЕ</w:t>
            </w:r>
          </w:p>
          <w:p w:rsidR="006C761E" w:rsidRDefault="006C761E">
            <w:pPr>
              <w:rPr>
                <w:szCs w:val="24"/>
              </w:rPr>
            </w:pPr>
            <w:r>
              <w:rPr>
                <w:szCs w:val="24"/>
              </w:rPr>
              <w:t>В пузырьках по 5 мл; в коробке 10 пузырьков.</w:t>
            </w:r>
          </w:p>
          <w:p w:rsidR="006C761E" w:rsidRDefault="006C761E">
            <w:pPr>
              <w:rPr>
                <w:szCs w:val="24"/>
              </w:rPr>
            </w:pPr>
          </w:p>
          <w:p w:rsidR="006C761E" w:rsidRDefault="006C761E">
            <w:pPr>
              <w:rPr>
                <w:szCs w:val="24"/>
              </w:rPr>
            </w:pPr>
            <w:r>
              <w:rPr>
                <w:szCs w:val="24"/>
              </w:rPr>
              <w:t>5. Преднизолон (МНН) 2423267</w:t>
            </w:r>
          </w:p>
          <w:p w:rsidR="006C761E" w:rsidRDefault="006C761E">
            <w:pPr>
              <w:rPr>
                <w:szCs w:val="24"/>
              </w:rPr>
            </w:pPr>
            <w:r>
              <w:rPr>
                <w:szCs w:val="24"/>
              </w:rPr>
              <w:t>1 мл раствора для инъекций содержит преднизолона 30 мг (в форме преднизолона натрия фосфата); в ампулах темного стекла по 1 мл, в картонной пачке 3 ампул.</w:t>
            </w:r>
          </w:p>
          <w:p w:rsidR="006C761E" w:rsidRDefault="006C761E">
            <w:pPr>
              <w:rPr>
                <w:szCs w:val="24"/>
              </w:rPr>
            </w:pPr>
          </w:p>
          <w:p w:rsidR="006C761E" w:rsidRDefault="006C761E">
            <w:pPr>
              <w:rPr>
                <w:szCs w:val="24"/>
              </w:rPr>
            </w:pPr>
            <w:r>
              <w:rPr>
                <w:szCs w:val="24"/>
              </w:rPr>
              <w:t>6. Апротинин (МНН) 2423566</w:t>
            </w:r>
          </w:p>
          <w:p w:rsidR="006C761E" w:rsidRDefault="006C761E">
            <w:r>
              <w:t>Лиофилизат для приготовления раствора для внутривенного и внутриполостного</w:t>
            </w:r>
          </w:p>
          <w:p w:rsidR="006C761E" w:rsidRDefault="006C761E">
            <w:r>
              <w:t xml:space="preserve"> введения 1 фл.</w:t>
            </w:r>
          </w:p>
          <w:p w:rsidR="006C761E" w:rsidRDefault="006C761E">
            <w:r>
              <w:t>апротинин</w:t>
            </w:r>
            <w:r>
              <w:tab/>
              <w:t>10000 АТрЕ</w:t>
            </w:r>
          </w:p>
          <w:p w:rsidR="006C761E" w:rsidRDefault="006C761E">
            <w:r>
              <w:t>вспомогательные вещества: маннитол</w:t>
            </w:r>
            <w:r>
              <w:tab/>
              <w:t xml:space="preserve"> </w:t>
            </w:r>
          </w:p>
          <w:p w:rsidR="006C761E" w:rsidRDefault="006C761E">
            <w:r>
              <w:rPr>
                <w:szCs w:val="24"/>
              </w:rPr>
              <w:t>Во флаконах; в 1 упаковке контурной ячейковой 5 флаконов, в комплекте с растворителем (изотонический раствор натрия хлорида) в ампулах по 2 мл. В  коробке 2 упаковки.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Уп.</w:t>
            </w: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Уп.</w:t>
            </w: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Уп.</w:t>
            </w: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Уп.</w:t>
            </w: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Уп.</w:t>
            </w: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</w:p>
          <w:p w:rsidR="006C761E" w:rsidRDefault="006C761E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Уп.</w:t>
            </w:r>
          </w:p>
          <w:p w:rsidR="006C761E" w:rsidRDefault="006C761E">
            <w:pPr>
              <w:pStyle w:val="Normal"/>
              <w:jc w:val="center"/>
              <w:rPr>
                <w:szCs w:val="24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1E" w:rsidRDefault="006C761E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Качество поставляемого товара должно соответствовать требованиям ГОСТ, СанПин и ТУ, принятых для данного вида товаров, а также качественным удостоверениям производителя и сертификатам соответствия.</w:t>
            </w:r>
          </w:p>
          <w:p w:rsidR="006C761E" w:rsidRDefault="006C761E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случае принятия решения об отзыве из обращения данного лекарственного средства на основании письма Федеральной службы по надзору в сфере здравоохранения и социального развития (РОСЗДРАВНАДЗОР) его необходимо заменить.</w:t>
            </w:r>
          </w:p>
          <w:p w:rsidR="006C761E" w:rsidRDefault="006C761E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соответствии с действующим законодательством Российской Федерации.</w:t>
            </w:r>
          </w:p>
          <w:p w:rsidR="006C761E" w:rsidRDefault="006C761E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Товар должен соответствовать требованиям качества (отсутствие брака, фальсификаций, боя, нарушений в упаковке) и доставляется до склада покупателя силами поставщика. Маркировка на упаковке должна быть четкой и выполнена несмываемой краской. Упаковка должна обеспечивать сохранность свойств </w:t>
            </w:r>
            <w:r>
              <w:rPr>
                <w:sz w:val="16"/>
                <w:szCs w:val="16"/>
              </w:rPr>
              <w:lastRenderedPageBreak/>
              <w:t>товара на весь срок годности и соответствовать действующим стандартам.</w:t>
            </w:r>
          </w:p>
          <w:p w:rsidR="006C761E" w:rsidRDefault="006C761E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Остаточный срок годности не менее 80 %;</w:t>
            </w:r>
          </w:p>
          <w:p w:rsidR="006C761E" w:rsidRDefault="006C761E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Цены на товар, не превышают цен, зарегистрированных в соответствие с Постановлением Правительства РФ от 9.11.2001 №782 «О государственном регулировании цен на лекарственные средства», с учетом предельной торговой надбавки к ценам на лекарственные средства.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126,5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29,98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31,15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661,6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20,53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902,44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  <w:r>
              <w:rPr>
                <w:sz w:val="20"/>
              </w:rPr>
              <w:t>97,5</w:t>
            </w: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  <w:r>
              <w:rPr>
                <w:sz w:val="20"/>
              </w:rPr>
              <w:t>32</w:t>
            </w: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  <w:r>
              <w:rPr>
                <w:sz w:val="20"/>
              </w:rPr>
              <w:t>32,6</w:t>
            </w: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  <w:r>
              <w:rPr>
                <w:sz w:val="20"/>
              </w:rPr>
              <w:t>573</w:t>
            </w: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  <w:r>
              <w:rPr>
                <w:sz w:val="20"/>
              </w:rPr>
              <w:t>18,5</w:t>
            </w: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rPr>
                <w:sz w:val="20"/>
              </w:rPr>
            </w:pPr>
            <w:r>
              <w:rPr>
                <w:sz w:val="20"/>
              </w:rPr>
              <w:t>895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121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27,95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30,7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656,5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16,5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946,25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115,0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29,98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31,48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630,37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18,51</w:t>
            </w: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</w:p>
          <w:p w:rsidR="006C761E" w:rsidRDefault="006C761E">
            <w:pPr>
              <w:pStyle w:val="Normal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914,56</w:t>
            </w:r>
          </w:p>
        </w:tc>
      </w:tr>
    </w:tbl>
    <w:p w:rsidR="006C761E" w:rsidRDefault="006C761E" w:rsidP="006C761E">
      <w:pPr>
        <w:pStyle w:val="Normal"/>
        <w:jc w:val="both"/>
        <w:rPr>
          <w:szCs w:val="24"/>
        </w:rPr>
      </w:pPr>
      <w:r>
        <w:rPr>
          <w:szCs w:val="24"/>
        </w:rPr>
        <w:lastRenderedPageBreak/>
        <w:t>ВЫВОД: Проведенные исследования позволяют определить максимальную цену контракта в размере 184 020,60 руб.</w:t>
      </w:r>
    </w:p>
    <w:p w:rsidR="006C761E" w:rsidRDefault="006C761E" w:rsidP="006C761E"/>
    <w:p w:rsidR="00A56596" w:rsidRDefault="00A56596">
      <w:bookmarkStart w:id="0" w:name="_GoBack"/>
      <w:bookmarkEnd w:id="0"/>
    </w:p>
    <w:sectPr w:rsidR="00A56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61E"/>
    <w:rsid w:val="000178E3"/>
    <w:rsid w:val="006C761E"/>
    <w:rsid w:val="007C7B6F"/>
    <w:rsid w:val="00A5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61E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6C761E"/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6C761E"/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C761E"/>
    <w:rPr>
      <w:rFonts w:eastAsia="Times New Roman"/>
      <w:sz w:val="20"/>
      <w:szCs w:val="20"/>
      <w:lang w:eastAsia="ru-RU"/>
    </w:rPr>
  </w:style>
  <w:style w:type="paragraph" w:customStyle="1" w:styleId="Normal">
    <w:name w:val="Normal"/>
    <w:rsid w:val="006C761E"/>
    <w:pPr>
      <w:snapToGrid w:val="0"/>
      <w:spacing w:before="100" w:after="100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61E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6C761E"/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6C761E"/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C761E"/>
    <w:rPr>
      <w:rFonts w:eastAsia="Times New Roman"/>
      <w:sz w:val="20"/>
      <w:szCs w:val="20"/>
      <w:lang w:eastAsia="ru-RU"/>
    </w:rPr>
  </w:style>
  <w:style w:type="paragraph" w:customStyle="1" w:styleId="Normal">
    <w:name w:val="Normal"/>
    <w:rsid w:val="006C761E"/>
    <w:pPr>
      <w:snapToGrid w:val="0"/>
      <w:spacing w:before="100" w:after="100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1</cp:revision>
  <dcterms:created xsi:type="dcterms:W3CDTF">2011-04-29T11:05:00Z</dcterms:created>
  <dcterms:modified xsi:type="dcterms:W3CDTF">2011-04-29T11:05:00Z</dcterms:modified>
</cp:coreProperties>
</file>