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DC" w:rsidRDefault="00A20ADC" w:rsidP="00A20ADC">
      <w:pPr>
        <w:ind w:firstLine="56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A20ADC" w:rsidRDefault="003D75A7" w:rsidP="00A20AD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ГРАЖДАНСКО-ПРАВОВОЙ ДОГОВОР</w:t>
      </w:r>
    </w:p>
    <w:p w:rsidR="003D75A7" w:rsidRDefault="003D75A7" w:rsidP="00A20AD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поставку стоматологической установки</w:t>
      </w:r>
    </w:p>
    <w:p w:rsidR="00A20ADC" w:rsidRDefault="00A20ADC" w:rsidP="00A20AD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Иваново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69F7">
        <w:rPr>
          <w:rFonts w:ascii="Times New Roman" w:hAnsi="Times New Roman" w:cs="Times New Roman"/>
          <w:sz w:val="24"/>
          <w:szCs w:val="24"/>
        </w:rPr>
        <w:t>«____»________2012</w:t>
      </w:r>
      <w:r>
        <w:rPr>
          <w:rFonts w:ascii="Times New Roman" w:hAnsi="Times New Roman" w:cs="Times New Roman"/>
          <w:sz w:val="24"/>
          <w:szCs w:val="24"/>
        </w:rPr>
        <w:t> г.</w:t>
      </w:r>
      <w:r>
        <w:rPr>
          <w:rFonts w:ascii="Times New Roman" w:hAnsi="Times New Roman" w:cs="Times New Roman"/>
          <w:i/>
          <w:sz w:val="24"/>
          <w:szCs w:val="24"/>
        </w:rPr>
        <w:br/>
      </w:r>
    </w:p>
    <w:p w:rsidR="00A20ADC" w:rsidRDefault="00A20ADC" w:rsidP="00A20AD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34C9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учреждение здравоохранения «Стоматологическая поликлиника № 1»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hAnsi="Times New Roman" w:cs="Times New Roman"/>
          <w:sz w:val="24"/>
          <w:szCs w:val="24"/>
        </w:rPr>
        <w:t xml:space="preserve">, в лице главного врача Ивановой Татьяны Валентиновны,  действующей на основании Устава, с одной стороны, и ______________________________________,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«Поставщик»</w:t>
      </w:r>
      <w:r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____________________________________________________, действующего на основании _________________________, с другой стороны, руководствуясь протоколом __________________________________________________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№ ______, заключили настоящий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A20ADC" w:rsidRDefault="00A20ADC" w:rsidP="00A20AD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3D75A7">
        <w:rPr>
          <w:rFonts w:ascii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По настоящему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у Поставщик обязуется передать </w:t>
      </w:r>
      <w:r w:rsidR="007C46C0">
        <w:rPr>
          <w:rFonts w:ascii="Times New Roman" w:hAnsi="Times New Roman" w:cs="Times New Roman"/>
          <w:sz w:val="24"/>
          <w:szCs w:val="24"/>
        </w:rPr>
        <w:t>стоматологическую установку 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(далее – «Оборудование») Заказчику, а Заказчик обязуется оплатить поставленное Оборудование на условиях настоящего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A20ADC" w:rsidRDefault="00A20ADC" w:rsidP="00A20ADC">
      <w:pPr>
        <w:tabs>
          <w:tab w:val="num" w:pos="1440"/>
        </w:tabs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Заказчик осуществляет прием и проверку на соответствие поставленного Поставщиком Оборудование заявке Заказчика по </w:t>
      </w:r>
      <w:r w:rsidR="007C46C0">
        <w:rPr>
          <w:rFonts w:ascii="Times New Roman" w:hAnsi="Times New Roman"/>
          <w:sz w:val="24"/>
          <w:szCs w:val="24"/>
        </w:rPr>
        <w:t>заявленным</w:t>
      </w:r>
      <w:r>
        <w:rPr>
          <w:rFonts w:ascii="Times New Roman" w:hAnsi="Times New Roman"/>
          <w:sz w:val="24"/>
          <w:szCs w:val="24"/>
        </w:rPr>
        <w:t xml:space="preserve"> характеристикам </w:t>
      </w:r>
      <w:r w:rsidR="007C46C0">
        <w:rPr>
          <w:rFonts w:ascii="Times New Roman" w:hAnsi="Times New Roman"/>
          <w:sz w:val="24"/>
          <w:szCs w:val="24"/>
        </w:rPr>
        <w:t xml:space="preserve">и комплектации </w:t>
      </w:r>
      <w:r>
        <w:rPr>
          <w:rFonts w:ascii="Times New Roman" w:hAnsi="Times New Roman"/>
          <w:sz w:val="24"/>
          <w:szCs w:val="24"/>
        </w:rPr>
        <w:t>Оборудования.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Поставка Оборудования </w:t>
      </w:r>
      <w:r w:rsidR="00D76500">
        <w:rPr>
          <w:rFonts w:ascii="Times New Roman" w:hAnsi="Times New Roman"/>
          <w:sz w:val="24"/>
          <w:szCs w:val="24"/>
        </w:rPr>
        <w:t xml:space="preserve">должна быть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3C5E05">
        <w:rPr>
          <w:rFonts w:ascii="Times New Roman" w:hAnsi="Times New Roman"/>
          <w:sz w:val="24"/>
          <w:szCs w:val="24"/>
        </w:rPr>
        <w:t xml:space="preserve">до </w:t>
      </w:r>
      <w:r w:rsidR="00D76500" w:rsidRPr="003C5E05">
        <w:rPr>
          <w:rFonts w:ascii="Times New Roman" w:hAnsi="Times New Roman"/>
          <w:sz w:val="24"/>
          <w:szCs w:val="24"/>
        </w:rPr>
        <w:t>15</w:t>
      </w:r>
      <w:r w:rsidRPr="003C5E05">
        <w:rPr>
          <w:rFonts w:ascii="Times New Roman" w:hAnsi="Times New Roman"/>
          <w:sz w:val="24"/>
          <w:szCs w:val="24"/>
        </w:rPr>
        <w:t>.12.201</w:t>
      </w:r>
      <w:r w:rsidR="000A69F7" w:rsidRPr="003C5E05">
        <w:rPr>
          <w:rFonts w:ascii="Times New Roman" w:hAnsi="Times New Roman"/>
          <w:sz w:val="24"/>
          <w:szCs w:val="24"/>
        </w:rPr>
        <w:t>2</w:t>
      </w:r>
      <w:r w:rsidR="000A69F7">
        <w:rPr>
          <w:rFonts w:ascii="Times New Roman" w:hAnsi="Times New Roman"/>
          <w:sz w:val="24"/>
          <w:szCs w:val="24"/>
        </w:rPr>
        <w:t xml:space="preserve"> г.</w:t>
      </w:r>
    </w:p>
    <w:p w:rsidR="00A20ADC" w:rsidRDefault="00A20ADC" w:rsidP="00A20ADC">
      <w:pPr>
        <w:tabs>
          <w:tab w:val="num" w:pos="144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Качество оборудования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Качество Оборудования, поставляемого по настоящему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у, должно подтверждаться сертификатами качества и иными документами в соответствии с действующим законодательством.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В случае поставки импортного Оборудования сертификат качества должен быть оформлен на русском языке.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Гарантийный срок на оборудование составляет </w:t>
      </w:r>
      <w:r w:rsidRPr="00D51B1D">
        <w:rPr>
          <w:rFonts w:ascii="Times New Roman" w:hAnsi="Times New Roman" w:cs="Times New Roman"/>
          <w:sz w:val="24"/>
          <w:szCs w:val="24"/>
        </w:rPr>
        <w:t>24 месяца</w:t>
      </w:r>
      <w:r>
        <w:rPr>
          <w:rFonts w:ascii="Times New Roman" w:hAnsi="Times New Roman" w:cs="Times New Roman"/>
          <w:sz w:val="24"/>
          <w:szCs w:val="24"/>
        </w:rPr>
        <w:t xml:space="preserve"> с момента принятия Заказчиком поставленного оборудования.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Поставщик гарантирует качество и надежность поставляемого Оборудования.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Заказчик вправе предъявить претензии Поставщику по качеству и срокам годности поставленного Оборудования в течение 30 (тридцати) дней после его приемки. Дата приемки соответствует дате, указанной на накладной.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Поставщик обязуется заменить Оборудование ненадлежащего качества в течение 20 рабочих дней с момента получения от Заказчика претензии по качеству.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Поставка недостающего или замена негодного Оборудования осуществляется Поставщиком на основании письменной претензии Заказчика. В претензии должно быть указано количество Оборудования, по которому заявлена претензия, содержание и основание претензии, а также конкретное требование Заказчика.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для ответа Поставщика на претензию устанавливается в 3 рабочих дня с момента получения Поставщиком или его представителем письменной претензии от Заказчика или его представителей. 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Маркировка на упаковке должна быть четкой и выполнена несмываемой краской.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Упаковка должна обеспечивать сохранность свойств Оборудования в течение установленного срока годности.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упаковке и маркировке должны отвечать требованиям, установленным нормативной документацией.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2.9. В случае поставки импортного оборудования маркировка индивидуальной упаковки и инструкция должны быть оформлены на русском языке.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Сроки и порядок поставки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Поставщик самостоятельно определяет способ и порядок доставки Оборудования Заказчику.</w:t>
      </w:r>
    </w:p>
    <w:p w:rsidR="00A20ADC" w:rsidRDefault="00A20ADC" w:rsidP="00A20ADC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Разгрузка Оборудования осуществляется силами и средствами Поставщика.</w:t>
      </w:r>
    </w:p>
    <w:p w:rsidR="00A20ADC" w:rsidRDefault="00A20ADC" w:rsidP="00A20ADC">
      <w:pPr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 собственности на Оборудование, поставляемое по настоящему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у, равно как и </w:t>
      </w:r>
      <w:proofErr w:type="gramStart"/>
      <w:r>
        <w:rPr>
          <w:rFonts w:ascii="Times New Roman" w:hAnsi="Times New Roman"/>
          <w:sz w:val="24"/>
          <w:szCs w:val="24"/>
        </w:rPr>
        <w:t>связанные</w:t>
      </w:r>
      <w:proofErr w:type="gramEnd"/>
      <w:r>
        <w:rPr>
          <w:rFonts w:ascii="Times New Roman" w:hAnsi="Times New Roman"/>
          <w:sz w:val="24"/>
          <w:szCs w:val="24"/>
        </w:rPr>
        <w:t xml:space="preserve"> с ним риски случайной гибели или повреждения Оборудования переходят от Поставщика к Заказчику с момента окончания  разгрузки Оборудования у Заказчика.</w:t>
      </w:r>
    </w:p>
    <w:p w:rsidR="00A20ADC" w:rsidRDefault="00A20ADC" w:rsidP="00A20ADC">
      <w:pPr>
        <w:pStyle w:val="ConsNormal"/>
        <w:widowControl/>
        <w:tabs>
          <w:tab w:val="left" w:pos="0"/>
        </w:tabs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Оборудование поставляется в таре и упаковке, соответствующей действующим стандартам и техническим условиям.</w:t>
      </w:r>
    </w:p>
    <w:p w:rsidR="00A20ADC" w:rsidRDefault="00A20ADC" w:rsidP="00A20ADC">
      <w:pPr>
        <w:pStyle w:val="ConsNormal"/>
        <w:widowControl/>
        <w:tabs>
          <w:tab w:val="left" w:pos="0"/>
        </w:tabs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Поставщик, допустивший недопоставку Оборудования, обязан восполнить недопоставленное количество Оборудования в течение 5 (пяти) рабочих дней с момента получения претензии Заказчика.</w:t>
      </w:r>
    </w:p>
    <w:p w:rsidR="00D76500" w:rsidRPr="00B30D0D" w:rsidRDefault="00A20ADC" w:rsidP="00D7650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Оборудование передается по накладной, в которой указывается наименование Оборудования, ассортимент, количество, стоимость Оборудования.</w:t>
      </w:r>
      <w:r w:rsidR="00D76500" w:rsidRPr="00D76500">
        <w:rPr>
          <w:rFonts w:ascii="Times New Roman" w:hAnsi="Times New Roman"/>
          <w:sz w:val="24"/>
          <w:szCs w:val="24"/>
        </w:rPr>
        <w:t xml:space="preserve"> </w:t>
      </w:r>
      <w:r w:rsidR="00D76500" w:rsidRPr="00B30D0D">
        <w:rPr>
          <w:rFonts w:ascii="Times New Roman" w:hAnsi="Times New Roman"/>
          <w:sz w:val="24"/>
          <w:szCs w:val="24"/>
        </w:rPr>
        <w:t>Факт передачи Товара подтверждается подписью уполномоченного представителя Заказчика в товарно</w:t>
      </w:r>
      <w:r w:rsidR="00D76500">
        <w:rPr>
          <w:rFonts w:ascii="Times New Roman" w:hAnsi="Times New Roman"/>
          <w:sz w:val="24"/>
          <w:szCs w:val="24"/>
        </w:rPr>
        <w:t>-транспортной накладной</w:t>
      </w:r>
      <w:r w:rsidR="00D76500" w:rsidRPr="00041CA2">
        <w:rPr>
          <w:rFonts w:ascii="Times New Roman" w:hAnsi="Times New Roman"/>
          <w:sz w:val="24"/>
          <w:szCs w:val="24"/>
        </w:rPr>
        <w:t>, заверенной оригинальной печатью Заказчика.</w:t>
      </w:r>
    </w:p>
    <w:p w:rsidR="00A20ADC" w:rsidRDefault="00A20ADC" w:rsidP="00D76500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случае отказа Заказчика сделать отметки об отказе в приемке Оборудования факт отказа удостоверяется актом, составленным представителем Поставщика в присутствии уполномоченных представителей Заказчика.</w:t>
      </w:r>
    </w:p>
    <w:p w:rsidR="00A20ADC" w:rsidRDefault="00A20ADC" w:rsidP="00A20ADC">
      <w:pPr>
        <w:pStyle w:val="ConsNonformat"/>
        <w:widowControl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Цена и порядок расчетов</w:t>
      </w:r>
    </w:p>
    <w:p w:rsidR="00A20ADC" w:rsidRDefault="00A20ADC" w:rsidP="00A20ADC">
      <w:pPr>
        <w:pStyle w:val="Web"/>
        <w:numPr>
          <w:ilvl w:val="1"/>
          <w:numId w:val="3"/>
        </w:numPr>
        <w:spacing w:before="0" w:beforeAutospacing="0" w:after="0" w:afterAutospacing="0"/>
        <w:ind w:left="0" w:firstLine="567"/>
        <w:contextualSpacing/>
        <w:mirrorIndents/>
        <w:jc w:val="both"/>
      </w:pPr>
      <w:proofErr w:type="gramStart"/>
      <w:r>
        <w:t xml:space="preserve">Цена </w:t>
      </w:r>
      <w:r w:rsidR="003D75A7">
        <w:t>Договор</w:t>
      </w:r>
      <w:r>
        <w:t>а составляет ________________</w:t>
      </w:r>
      <w:r w:rsidR="00B44F69">
        <w:t xml:space="preserve">______________________, в </w:t>
      </w:r>
      <w:proofErr w:type="spellStart"/>
      <w:r w:rsidR="00B44F69">
        <w:t>т.ч</w:t>
      </w:r>
      <w:proofErr w:type="spellEnd"/>
      <w:r w:rsidR="00B44F69">
        <w:t>. НДС __________.</w:t>
      </w:r>
      <w:r>
        <w:t xml:space="preserve"> </w:t>
      </w:r>
      <w:r>
        <w:rPr>
          <w:bCs/>
        </w:rPr>
        <w:t>Цена вклю</w:t>
      </w:r>
      <w:r w:rsidR="00B44F69">
        <w:rPr>
          <w:bCs/>
        </w:rPr>
        <w:t>чает стоимость оборудования</w:t>
      </w:r>
      <w:r>
        <w:rPr>
          <w:bCs/>
        </w:rPr>
        <w:t>,  расходы на перевозку, страхование, уплату таможенных пошлин, налогов, сборов и других обязательных платежей, монтаж оборудования,  ввод оборудования в эксплуатацию</w:t>
      </w:r>
      <w:r>
        <w:t>.</w:t>
      </w:r>
      <w:proofErr w:type="gramEnd"/>
    </w:p>
    <w:p w:rsidR="00A20ADC" w:rsidRDefault="00A20ADC" w:rsidP="00A20ADC">
      <w:pPr>
        <w:numPr>
          <w:ilvl w:val="1"/>
          <w:numId w:val="3"/>
        </w:numPr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 является твердой и не может изменяться в ходе его исполнения.</w:t>
      </w:r>
    </w:p>
    <w:p w:rsidR="00A20ADC" w:rsidRDefault="00A20ADC" w:rsidP="00A20ADC">
      <w:pPr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Расходы,   связанные с упаковкой, хранением, оформлением необходимой документации, погрузкой и доставкой Оборудования до склада Заказчика, несет Поставщик.</w:t>
      </w:r>
    </w:p>
    <w:p w:rsidR="00A20ADC" w:rsidRDefault="00A20ADC" w:rsidP="00A20ADC">
      <w:pPr>
        <w:pStyle w:val="31"/>
        <w:numPr>
          <w:ilvl w:val="1"/>
          <w:numId w:val="3"/>
        </w:numPr>
        <w:spacing w:after="0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производится по безналичному расчету путем перечисления денежных средств на расчетный счет Поставщика в </w:t>
      </w:r>
      <w:r w:rsidRPr="003D75A7">
        <w:rPr>
          <w:rFonts w:ascii="Times New Roman" w:hAnsi="Times New Roman"/>
          <w:sz w:val="24"/>
          <w:szCs w:val="24"/>
        </w:rPr>
        <w:t>течение 40 банковских дней со</w:t>
      </w:r>
      <w:r>
        <w:rPr>
          <w:rFonts w:ascii="Times New Roman" w:hAnsi="Times New Roman"/>
          <w:sz w:val="24"/>
          <w:szCs w:val="24"/>
        </w:rPr>
        <w:t xml:space="preserve"> дня поставки Оборудования на основании акта ввода Обору</w:t>
      </w:r>
      <w:r w:rsidR="000A69F7">
        <w:rPr>
          <w:rFonts w:ascii="Times New Roman" w:hAnsi="Times New Roman"/>
          <w:sz w:val="24"/>
          <w:szCs w:val="24"/>
        </w:rPr>
        <w:t xml:space="preserve">дования в эксплуатацию, </w:t>
      </w:r>
      <w:proofErr w:type="spellStart"/>
      <w:r w:rsidR="000A69F7">
        <w:rPr>
          <w:rFonts w:ascii="Times New Roman" w:hAnsi="Times New Roman"/>
          <w:sz w:val="24"/>
          <w:szCs w:val="24"/>
        </w:rPr>
        <w:t>товарн</w:t>
      </w:r>
      <w:proofErr w:type="gramStart"/>
      <w:r w:rsidR="000A69F7"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транспортной накладной и счета - фактуры.</w:t>
      </w:r>
    </w:p>
    <w:p w:rsidR="00A20ADC" w:rsidRDefault="00A20ADC" w:rsidP="00A20ADC">
      <w:pPr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производится за счет средств, полученных Заказчиком от платных услуг.</w:t>
      </w:r>
    </w:p>
    <w:p w:rsidR="00A20ADC" w:rsidRDefault="00A20ADC" w:rsidP="00A20ADC">
      <w:pPr>
        <w:pStyle w:val="ConsNormal"/>
        <w:widowControl/>
        <w:numPr>
          <w:ilvl w:val="1"/>
          <w:numId w:val="3"/>
        </w:numPr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Валютой платежа является российский рубль.</w:t>
      </w:r>
    </w:p>
    <w:p w:rsidR="00A20ADC" w:rsidRDefault="00A20ADC" w:rsidP="00A20ADC">
      <w:pPr>
        <w:pStyle w:val="ConsNormal"/>
        <w:widowControl/>
        <w:numPr>
          <w:ilvl w:val="1"/>
          <w:numId w:val="3"/>
        </w:numPr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расчеты с Поставщиком производит Заказчик.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ind w:left="36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Права и обязанности Поставщика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Поставить Заказчику Оборудование свободным от  любых прав третьих лиц.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Произвести за свой счет оплату расходов, связанных с доставкой Оборудования до Заказчика.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 надлежащую  упаковку   и   маркировку  Оборудования.   Упаковка  Оборудования  должна обеспечивать сохранность при его транспортировке при  условии бережного с ним обращения.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Передать Заказчику одновременно с передачей Оборудования принадлежности Оборудования, а также относящиеся к нему документы (паспорта, сертификаты, санитарно-гигиенические заключения, инструкцию пользователя на русском языке от производителя, другие документы, предусмотренные законом или иными правовыми актами и т. д.).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Произвести монтаж и выполнение пуско-наладочных работ, обучение персонала Заказчика, составив соответствующий акт об этом.</w:t>
      </w:r>
    </w:p>
    <w:p w:rsidR="00A20ADC" w:rsidRDefault="00A20ADC" w:rsidP="00A20ADC">
      <w:pPr>
        <w:shd w:val="clear" w:color="auto" w:fill="FFFFFF"/>
        <w:tabs>
          <w:tab w:val="left" w:pos="0"/>
          <w:tab w:val="left" w:pos="59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hd w:val="clear" w:color="auto" w:fill="FFFFFF"/>
        <w:spacing w:after="0" w:line="240" w:lineRule="auto"/>
        <w:ind w:left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Обязанности Заказчика</w:t>
      </w:r>
    </w:p>
    <w:p w:rsidR="00A20ADC" w:rsidRDefault="00A20ADC" w:rsidP="00A20ADC">
      <w:pPr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Принять Оборудование немедленно после его доставки, и в случае его соответствия настоящему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   по   количеству,    качеству,   комплектности, техническим характеристикам  предоставить   уполномоченному представителю Поставщика экземпляр соответствующего документа об этом. При выявлении несоответствия Оборудования настоящему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 по количеству или качеству должен быть составлен соответствующий акт совместно с представителем Поставщика.</w:t>
      </w:r>
    </w:p>
    <w:p w:rsidR="00A20ADC" w:rsidRDefault="00A20ADC" w:rsidP="00A20ADC">
      <w:pPr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ответственное хранение Оборудования до момента его замены или принятия в случае выявления несоответствий или недостатков Оборудования, уведомив об этом Поставщика незамедлительно.</w:t>
      </w:r>
    </w:p>
    <w:p w:rsidR="00A20ADC" w:rsidRDefault="00A20ADC" w:rsidP="00A20ADC">
      <w:pPr>
        <w:numPr>
          <w:ilvl w:val="1"/>
          <w:numId w:val="5"/>
        </w:numPr>
        <w:shd w:val="clear" w:color="auto" w:fill="FFFFFF"/>
        <w:tabs>
          <w:tab w:val="left" w:pos="0"/>
          <w:tab w:val="left" w:pos="542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Оплатить поставляемое Оборудование с соблюдением размера, порядка и формы расчетов, предусмотренных в п.п. 2.1.- 2.3. настоящего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а.</w:t>
      </w: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Ответственность сторон</w:t>
      </w:r>
    </w:p>
    <w:p w:rsidR="00B05291" w:rsidRDefault="00B05291" w:rsidP="00B05291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 случае нарушения сроков поставки оборудования Поставщик обязуется по требованию Заказчика уплатить неустойку в размере одной шестнадцатой действующей на день уплаты неустойки ставки рефинансирования Центрального банка Российской Федерации от стоимости недопоставленного оборудования за каждый день просрочки.</w:t>
      </w:r>
    </w:p>
    <w:p w:rsidR="00B05291" w:rsidRDefault="00B05291" w:rsidP="00B0529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поставке Оборудования ненадлежащего качества Заказчик вправе назначить Поставщику разумный срок для замены оборудования ненадлежащего качества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назначенный Заказчиком срок Поставщик не произведет требуемую замену оборудования, Поставщик оплачивает пени в размере одной шестнадцатой действующей на день уплаты неустойки ставки рефинансирования Центрального банка Российской Федерации от стоимости оборудования, подлежащей замене, за каждый день просрочки, после установленного срока.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При причинении убытков Заказчику Поставщик возмещает их в виде реального ущерба и упущенной выгоды. </w:t>
      </w:r>
    </w:p>
    <w:p w:rsidR="00A20ADC" w:rsidRDefault="00A20ADC" w:rsidP="00A20ADC">
      <w:pPr>
        <w:tabs>
          <w:tab w:val="left" w:pos="0"/>
        </w:tabs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Заказчик несет ответственность в соответствии с действующим законодательством РФ при наличии вины.</w:t>
      </w: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Порядок разрешения споров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Споры, которые могут возникнуть при исполнении условий настоящего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а, стороны будут стремиться разрешать в порядке досудебного разбирательства.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В случае нарушения любой из сторон условий настоящего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а, другая сторона вправе предъявить претензию к виновной стороне.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поставке). Претензия  рассматривается в течение 3 рабочих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Стороны освобождаются от ответственности за неисполнение или ненадлежащее исполнение обязательств по настоящему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у, если такое неисполнение явилось </w:t>
      </w:r>
      <w:r>
        <w:rPr>
          <w:rFonts w:ascii="Times New Roman" w:hAnsi="Times New Roman"/>
          <w:sz w:val="24"/>
          <w:szCs w:val="24"/>
        </w:rPr>
        <w:lastRenderedPageBreak/>
        <w:t>следствием обстоятельств непреодолимой силы, действия и последствия которой стороны не могли предвидеть или предотвратить разумными мерами.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numPr>
          <w:ilvl w:val="12"/>
          <w:numId w:val="0"/>
        </w:num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Форс-мажор</w:t>
      </w:r>
    </w:p>
    <w:p w:rsidR="00A20ADC" w:rsidRDefault="00A20ADC" w:rsidP="00A20ADC">
      <w:pPr>
        <w:pStyle w:val="21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 Ни одна из сторон не будет нести ответственность за полное или частичное неисполнение обязательств по настоящему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а. При этом время исполнения обязательств по настоящему </w:t>
      </w:r>
      <w:r w:rsidR="003D75A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  соразмерно отодвигается на время действия таких обстоятельств. </w:t>
      </w:r>
    </w:p>
    <w:p w:rsidR="00A20ADC" w:rsidRDefault="00A20ADC" w:rsidP="00A20ADC">
      <w:pPr>
        <w:pStyle w:val="a3"/>
        <w:spacing w:after="0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</w:t>
      </w:r>
      <w:proofErr w:type="spellStart"/>
      <w:r>
        <w:rPr>
          <w:rFonts w:ascii="Times New Roman" w:hAnsi="Times New Roman"/>
          <w:sz w:val="24"/>
          <w:szCs w:val="24"/>
        </w:rPr>
        <w:t>Неуведомление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9865EC" w:rsidRDefault="009865E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10. Заключительные положения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Во всем остальном, что не предусмотрено настоящим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ом, стороны руководствуются действующим законодательством Российской Федерации.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Любые изменения и дополнения к настоящему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10.3. Настоящий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подписания сторонами и действует до полного исполнения обязательств по настоящему </w:t>
      </w:r>
      <w:r w:rsidR="003D75A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у.</w:t>
      </w:r>
    </w:p>
    <w:p w:rsidR="00B44F69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B44F69">
        <w:rPr>
          <w:rFonts w:ascii="Times New Roman" w:hAnsi="Times New Roman" w:cs="Times New Roman"/>
          <w:sz w:val="24"/>
          <w:szCs w:val="24"/>
        </w:rPr>
        <w:t xml:space="preserve">10.4. </w:t>
      </w:r>
      <w:proofErr w:type="gramStart"/>
      <w:r w:rsidR="00B44F69" w:rsidRPr="00B44F6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="00B44F69" w:rsidRPr="00B44F69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 в случаях, предусмотренных Федеральным законом от 21.07.2005г. №94-ФЗ «О размещении заказов на поставки товаров, выполнение работ, оказание услуг для государственных и муниципальных».</w:t>
      </w:r>
    </w:p>
    <w:p w:rsidR="00A20ADC" w:rsidRPr="00B44F69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B44F69">
        <w:rPr>
          <w:rFonts w:ascii="Times New Roman" w:hAnsi="Times New Roman" w:cs="Times New Roman"/>
          <w:sz w:val="24"/>
          <w:szCs w:val="24"/>
        </w:rPr>
        <w:t xml:space="preserve">10.5. Настоящий </w:t>
      </w:r>
      <w:r w:rsidR="003D75A7" w:rsidRPr="00B44F69">
        <w:rPr>
          <w:rFonts w:ascii="Times New Roman" w:hAnsi="Times New Roman" w:cs="Times New Roman"/>
          <w:sz w:val="24"/>
          <w:szCs w:val="24"/>
        </w:rPr>
        <w:t>Договор</w:t>
      </w:r>
      <w:r w:rsidRPr="00B44F69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:rsidR="009865EC" w:rsidRDefault="009865E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 Юридические адреса и реквизиты сторон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Заказчик: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134C9A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УЗ «Стоматологическая поликлиника №1»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153000,  г. Иваново, пр. Ф. Энгельса, д. 3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Тел./факс 32-85-02, 32-60-91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3728026828 КПП 370201001</w:t>
      </w:r>
    </w:p>
    <w:p w:rsidR="00B44F69" w:rsidRDefault="00B44F69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Поставщик: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                  Поставщик:                           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/Иванова Т. В.                                          _______________ /__________             </w:t>
      </w:r>
    </w:p>
    <w:p w:rsidR="00A20ADC" w:rsidRDefault="00A20ADC" w:rsidP="00A20ADC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М. П.                                                                                                            М. П.       </w:t>
      </w:r>
    </w:p>
    <w:p w:rsidR="00A20ADC" w:rsidRDefault="00A20ADC" w:rsidP="00A20ADC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p w:rsidR="00A20ADC" w:rsidRDefault="007C46C0" w:rsidP="007C46C0">
      <w:pPr>
        <w:spacing w:after="0" w:line="240" w:lineRule="auto"/>
        <w:contextualSpacing/>
        <w:mirrorIndents/>
        <w:jc w:val="right"/>
        <w:rPr>
          <w:b/>
        </w:rPr>
      </w:pPr>
      <w:r>
        <w:rPr>
          <w:b/>
        </w:rPr>
        <w:t xml:space="preserve"> </w:t>
      </w:r>
    </w:p>
    <w:p w:rsidR="004522D1" w:rsidRPr="00A20ADC" w:rsidRDefault="004522D1" w:rsidP="00A20ADC">
      <w:pPr>
        <w:spacing w:after="0" w:line="240" w:lineRule="auto"/>
        <w:contextualSpacing/>
        <w:mirrorIndents/>
        <w:rPr>
          <w:lang w:val="en-US"/>
        </w:rPr>
      </w:pPr>
    </w:p>
    <w:sectPr w:rsidR="004522D1" w:rsidRPr="00A20ADC" w:rsidSect="00464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Arial"/>
    <w:charset w:val="00"/>
    <w:family w:val="swiss"/>
    <w:pitch w:val="variable"/>
    <w:sig w:usb0="00000203" w:usb1="00000000" w:usb2="00000000" w:usb3="00000000" w:csb0="00000005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252"/>
    <w:multiLevelType w:val="multilevel"/>
    <w:tmpl w:val="DA1C21F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50395034"/>
    <w:multiLevelType w:val="multilevel"/>
    <w:tmpl w:val="6FB851F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3CF00A0"/>
    <w:multiLevelType w:val="multilevel"/>
    <w:tmpl w:val="3B34C1A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65FA6656"/>
    <w:multiLevelType w:val="hybridMultilevel"/>
    <w:tmpl w:val="9376C1E4"/>
    <w:lvl w:ilvl="0" w:tplc="8DD24E08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17242A"/>
    <w:multiLevelType w:val="multilevel"/>
    <w:tmpl w:val="376A3BC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DC"/>
    <w:rsid w:val="000A69F7"/>
    <w:rsid w:val="00134C9A"/>
    <w:rsid w:val="003931D9"/>
    <w:rsid w:val="003C5E05"/>
    <w:rsid w:val="003D75A7"/>
    <w:rsid w:val="004522D1"/>
    <w:rsid w:val="00464094"/>
    <w:rsid w:val="005535C8"/>
    <w:rsid w:val="005E2E6C"/>
    <w:rsid w:val="007C46C0"/>
    <w:rsid w:val="009865EC"/>
    <w:rsid w:val="009A6CC5"/>
    <w:rsid w:val="00A20ADC"/>
    <w:rsid w:val="00AE0114"/>
    <w:rsid w:val="00B05291"/>
    <w:rsid w:val="00B34333"/>
    <w:rsid w:val="00B44F69"/>
    <w:rsid w:val="00BB6879"/>
    <w:rsid w:val="00D51B1D"/>
    <w:rsid w:val="00D7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20ADC"/>
    <w:pPr>
      <w:keepNext/>
      <w:numPr>
        <w:ilvl w:val="1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20AD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20AD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A20AD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20AD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20AD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20AD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20AD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20ADC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semiHidden/>
    <w:rsid w:val="00A20ADC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A20ADC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semiHidden/>
    <w:rsid w:val="00A20ADC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semiHidden/>
    <w:rsid w:val="00A20ADC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semiHidden/>
    <w:rsid w:val="00A20ADC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semiHidden/>
    <w:rsid w:val="00A20ADC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A20ADC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Body Text"/>
    <w:basedOn w:val="a"/>
    <w:link w:val="a4"/>
    <w:unhideWhenUsed/>
    <w:rsid w:val="00A20ADC"/>
    <w:pPr>
      <w:spacing w:after="12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4">
    <w:name w:val="Основной текст Знак"/>
    <w:basedOn w:val="a0"/>
    <w:link w:val="a3"/>
    <w:rsid w:val="00A20ADC"/>
    <w:rPr>
      <w:rFonts w:ascii="Journal" w:eastAsia="Times New Roman" w:hAnsi="Journal" w:cs="Times New Roman"/>
      <w:sz w:val="30"/>
      <w:szCs w:val="20"/>
    </w:rPr>
  </w:style>
  <w:style w:type="paragraph" w:styleId="21">
    <w:name w:val="Body Text Indent 2"/>
    <w:basedOn w:val="a"/>
    <w:link w:val="22"/>
    <w:semiHidden/>
    <w:unhideWhenUsed/>
    <w:rsid w:val="00A20ADC"/>
    <w:pPr>
      <w:spacing w:after="0" w:line="240" w:lineRule="auto"/>
      <w:ind w:firstLine="851"/>
    </w:pPr>
    <w:rPr>
      <w:rFonts w:ascii="Academy" w:eastAsia="Times New Roman" w:hAnsi="Academy" w:cs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A20ADC"/>
    <w:rPr>
      <w:rFonts w:ascii="Academy" w:eastAsia="Times New Roman" w:hAnsi="Academy" w:cs="Times New Roman"/>
      <w:sz w:val="30"/>
      <w:szCs w:val="20"/>
    </w:rPr>
  </w:style>
  <w:style w:type="paragraph" w:styleId="31">
    <w:name w:val="Body Text Indent 3"/>
    <w:basedOn w:val="a"/>
    <w:link w:val="32"/>
    <w:semiHidden/>
    <w:unhideWhenUsed/>
    <w:rsid w:val="00A20ADC"/>
    <w:pPr>
      <w:spacing w:after="120" w:line="240" w:lineRule="auto"/>
      <w:ind w:left="283"/>
    </w:pPr>
    <w:rPr>
      <w:rFonts w:ascii="Journal" w:eastAsia="Times New Roman" w:hAnsi="Journ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20ADC"/>
    <w:rPr>
      <w:rFonts w:ascii="Journal" w:eastAsia="Times New Roman" w:hAnsi="Journal" w:cs="Times New Roman"/>
      <w:sz w:val="16"/>
      <w:szCs w:val="16"/>
    </w:rPr>
  </w:style>
  <w:style w:type="paragraph" w:customStyle="1" w:styleId="ConsTitle">
    <w:name w:val="ConsTitle"/>
    <w:rsid w:val="00A20AD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A20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20A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b">
    <w:name w:val="Обычный (Web)"/>
    <w:basedOn w:val="a"/>
    <w:rsid w:val="00A2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20ADC"/>
    <w:pPr>
      <w:keepNext/>
      <w:numPr>
        <w:ilvl w:val="1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20AD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20AD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A20AD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20AD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20AD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20AD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20AD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20ADC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semiHidden/>
    <w:rsid w:val="00A20ADC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A20ADC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semiHidden/>
    <w:rsid w:val="00A20ADC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semiHidden/>
    <w:rsid w:val="00A20ADC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semiHidden/>
    <w:rsid w:val="00A20ADC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semiHidden/>
    <w:rsid w:val="00A20ADC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A20ADC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Body Text"/>
    <w:basedOn w:val="a"/>
    <w:link w:val="a4"/>
    <w:unhideWhenUsed/>
    <w:rsid w:val="00A20ADC"/>
    <w:pPr>
      <w:spacing w:after="12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4">
    <w:name w:val="Основной текст Знак"/>
    <w:basedOn w:val="a0"/>
    <w:link w:val="a3"/>
    <w:rsid w:val="00A20ADC"/>
    <w:rPr>
      <w:rFonts w:ascii="Journal" w:eastAsia="Times New Roman" w:hAnsi="Journal" w:cs="Times New Roman"/>
      <w:sz w:val="30"/>
      <w:szCs w:val="20"/>
    </w:rPr>
  </w:style>
  <w:style w:type="paragraph" w:styleId="21">
    <w:name w:val="Body Text Indent 2"/>
    <w:basedOn w:val="a"/>
    <w:link w:val="22"/>
    <w:semiHidden/>
    <w:unhideWhenUsed/>
    <w:rsid w:val="00A20ADC"/>
    <w:pPr>
      <w:spacing w:after="0" w:line="240" w:lineRule="auto"/>
      <w:ind w:firstLine="851"/>
    </w:pPr>
    <w:rPr>
      <w:rFonts w:ascii="Academy" w:eastAsia="Times New Roman" w:hAnsi="Academy" w:cs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A20ADC"/>
    <w:rPr>
      <w:rFonts w:ascii="Academy" w:eastAsia="Times New Roman" w:hAnsi="Academy" w:cs="Times New Roman"/>
      <w:sz w:val="30"/>
      <w:szCs w:val="20"/>
    </w:rPr>
  </w:style>
  <w:style w:type="paragraph" w:styleId="31">
    <w:name w:val="Body Text Indent 3"/>
    <w:basedOn w:val="a"/>
    <w:link w:val="32"/>
    <w:semiHidden/>
    <w:unhideWhenUsed/>
    <w:rsid w:val="00A20ADC"/>
    <w:pPr>
      <w:spacing w:after="120" w:line="240" w:lineRule="auto"/>
      <w:ind w:left="283"/>
    </w:pPr>
    <w:rPr>
      <w:rFonts w:ascii="Journal" w:eastAsia="Times New Roman" w:hAnsi="Journ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20ADC"/>
    <w:rPr>
      <w:rFonts w:ascii="Journal" w:eastAsia="Times New Roman" w:hAnsi="Journal" w:cs="Times New Roman"/>
      <w:sz w:val="16"/>
      <w:szCs w:val="16"/>
    </w:rPr>
  </w:style>
  <w:style w:type="paragraph" w:customStyle="1" w:styleId="ConsTitle">
    <w:name w:val="ConsTitle"/>
    <w:rsid w:val="00A20AD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A20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20A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b">
    <w:name w:val="Обычный (Web)"/>
    <w:basedOn w:val="a"/>
    <w:rsid w:val="00A2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1781</Words>
  <Characters>10153</Characters>
  <Application>Microsoft Office Word</Application>
  <DocSecurity>0</DocSecurity>
  <Lines>84</Lines>
  <Paragraphs>23</Paragraphs>
  <ScaleCrop>false</ScaleCrop>
  <Company>Microsoft</Company>
  <LinksUpToDate>false</LinksUpToDate>
  <CharactersWithSpaces>11911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Александровна Ушакова</cp:lastModifiedBy>
  <cp:revision>4</cp:revision>
  <cp:lastPrinted>2011-10-05T05:02:00Z</cp:lastPrinted>
  <dcterms:created xsi:type="dcterms:W3CDTF">2012-09-25T06:33:00Z</dcterms:created>
  <dcterms:modified xsi:type="dcterms:W3CDTF">2012-09-25T07:04:00Z</dcterms:modified>
</cp:coreProperties>
</file>