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№ 0133300001714000</w:t>
      </w:r>
      <w:r w:rsidR="00C9068D">
        <w:rPr>
          <w:b/>
          <w:sz w:val="24"/>
          <w:szCs w:val="24"/>
        </w:rPr>
        <w:t>480</w:t>
      </w:r>
    </w:p>
    <w:p w:rsidR="00C57C7A" w:rsidRPr="001B6CB3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 w:rsidRPr="001B6CB3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1B6CB3" w:rsidRDefault="00C57C7A" w:rsidP="00C57C7A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Pr="001B6CB3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1B6CB3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1B6CB3" w:rsidRDefault="009F3E71" w:rsidP="00986F5C">
            <w:pPr>
              <w:rPr>
                <w:sz w:val="24"/>
                <w:szCs w:val="24"/>
              </w:rPr>
            </w:pPr>
            <w:r w:rsidRPr="001B6CB3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9068D">
              <w:rPr>
                <w:sz w:val="24"/>
                <w:szCs w:val="24"/>
              </w:rPr>
              <w:t>16</w:t>
            </w:r>
            <w:r w:rsidR="006623CF" w:rsidRPr="001B6CB3">
              <w:rPr>
                <w:sz w:val="24"/>
                <w:szCs w:val="24"/>
              </w:rPr>
              <w:t>.0</w:t>
            </w:r>
            <w:r w:rsidR="001B6CB3" w:rsidRPr="001B6CB3">
              <w:rPr>
                <w:sz w:val="24"/>
                <w:szCs w:val="24"/>
              </w:rPr>
              <w:t>6</w:t>
            </w:r>
            <w:r w:rsidRPr="001B6CB3">
              <w:rPr>
                <w:sz w:val="24"/>
                <w:szCs w:val="24"/>
              </w:rPr>
              <w:t>.2014</w:t>
            </w:r>
          </w:p>
        </w:tc>
      </w:tr>
    </w:tbl>
    <w:p w:rsidR="009F3E71" w:rsidRPr="001B6CB3" w:rsidRDefault="009F3E71" w:rsidP="009F3E71">
      <w:pPr>
        <w:jc w:val="both"/>
        <w:rPr>
          <w:sz w:val="24"/>
          <w:szCs w:val="24"/>
        </w:rPr>
      </w:pPr>
    </w:p>
    <w:p w:rsidR="00FE3271" w:rsidRPr="00C9068D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271">
        <w:rPr>
          <w:rFonts w:ascii="Times New Roman" w:hAnsi="Times New Roman" w:cs="Times New Roman"/>
          <w:sz w:val="24"/>
          <w:szCs w:val="24"/>
        </w:rPr>
        <w:t xml:space="preserve">1. </w:t>
      </w:r>
      <w:r w:rsidRPr="00C9068D">
        <w:rPr>
          <w:rFonts w:ascii="Times New Roman" w:hAnsi="Times New Roman" w:cs="Times New Roman"/>
          <w:sz w:val="24"/>
          <w:szCs w:val="24"/>
        </w:rPr>
        <w:t>Заказчик:</w:t>
      </w:r>
      <w:r w:rsidR="009F3E71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C9068D" w:rsidRPr="00C9068D">
        <w:rPr>
          <w:rFonts w:ascii="Times New Roman" w:hAnsi="Times New Roman" w:cs="Times New Roman"/>
          <w:sz w:val="24"/>
          <w:szCs w:val="24"/>
        </w:rPr>
        <w:t>Муниципальное бюджетное учреждение Центр физкультурно-спортив</w:t>
      </w:r>
      <w:r w:rsidR="00C9068D">
        <w:rPr>
          <w:rFonts w:ascii="Times New Roman" w:hAnsi="Times New Roman" w:cs="Times New Roman"/>
          <w:sz w:val="24"/>
          <w:szCs w:val="24"/>
        </w:rPr>
        <w:t>ной работы по месту жительства «Восток»</w:t>
      </w:r>
      <w:r w:rsidR="00C9068D" w:rsidRPr="00C9068D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Администрации города Иванова</w:t>
      </w:r>
      <w:r w:rsidR="00875D6B" w:rsidRPr="00C9068D">
        <w:rPr>
          <w:rFonts w:ascii="Times New Roman" w:hAnsi="Times New Roman" w:cs="Times New Roman"/>
          <w:sz w:val="24"/>
          <w:szCs w:val="24"/>
        </w:rPr>
        <w:t>.</w:t>
      </w:r>
    </w:p>
    <w:p w:rsidR="009F3E71" w:rsidRPr="00C9068D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68D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C9068D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C906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C9068D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C9068D" w:rsidRPr="00C9068D">
        <w:rPr>
          <w:rFonts w:ascii="Times New Roman" w:hAnsi="Times New Roman" w:cs="Times New Roman"/>
          <w:sz w:val="24"/>
          <w:szCs w:val="24"/>
        </w:rPr>
        <w:t>480</w:t>
      </w:r>
      <w:r w:rsidRPr="00C9068D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C9068D">
        <w:rPr>
          <w:rFonts w:ascii="Times New Roman" w:hAnsi="Times New Roman" w:cs="Times New Roman"/>
          <w:sz w:val="24"/>
          <w:szCs w:val="24"/>
        </w:rPr>
        <w:t>ию закупок 16</w:t>
      </w:r>
      <w:r w:rsidR="006623CF" w:rsidRPr="00C9068D">
        <w:rPr>
          <w:rFonts w:ascii="Times New Roman" w:hAnsi="Times New Roman" w:cs="Times New Roman"/>
          <w:sz w:val="24"/>
          <w:szCs w:val="24"/>
        </w:rPr>
        <w:t>.0</w:t>
      </w:r>
      <w:r w:rsidR="001B6CB3" w:rsidRPr="00C9068D">
        <w:rPr>
          <w:rFonts w:ascii="Times New Roman" w:hAnsi="Times New Roman" w:cs="Times New Roman"/>
          <w:sz w:val="24"/>
          <w:szCs w:val="24"/>
        </w:rPr>
        <w:t>6</w:t>
      </w:r>
      <w:r w:rsidRPr="00C9068D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6623CF" w:rsidRPr="00C9068D" w:rsidRDefault="009F3E71" w:rsidP="00FE3271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C9068D">
        <w:rPr>
          <w:sz w:val="24"/>
          <w:szCs w:val="24"/>
        </w:rPr>
        <w:t>3. Наименование объекта закупки</w:t>
      </w:r>
      <w:r w:rsidRPr="00C9068D">
        <w:rPr>
          <w:rFonts w:eastAsia="Calibri"/>
          <w:sz w:val="24"/>
          <w:szCs w:val="24"/>
        </w:rPr>
        <w:t>:</w:t>
      </w:r>
      <w:r w:rsidRPr="00C9068D">
        <w:rPr>
          <w:sz w:val="24"/>
          <w:szCs w:val="24"/>
        </w:rPr>
        <w:t xml:space="preserve"> </w:t>
      </w:r>
      <w:r w:rsidR="006623CF" w:rsidRPr="00C9068D">
        <w:rPr>
          <w:sz w:val="24"/>
          <w:szCs w:val="24"/>
        </w:rPr>
        <w:t>«</w:t>
      </w:r>
      <w:r w:rsidR="00C9068D" w:rsidRPr="00C9068D">
        <w:rPr>
          <w:sz w:val="24"/>
          <w:szCs w:val="24"/>
        </w:rPr>
        <w:t>Обустройство площадки для физкультурно-оздоровительных занятий для населения в рамках благоустройства территории по адресу: Ивановская область, г. Иваново, ул. Володарского, 11</w:t>
      </w:r>
      <w:r w:rsidR="006623CF" w:rsidRPr="00C9068D">
        <w:rPr>
          <w:sz w:val="24"/>
          <w:szCs w:val="24"/>
        </w:rPr>
        <w:t>»</w:t>
      </w:r>
      <w:r w:rsidR="00C9068D" w:rsidRPr="00C9068D">
        <w:rPr>
          <w:sz w:val="24"/>
          <w:szCs w:val="24"/>
        </w:rPr>
        <w:t>.</w:t>
      </w:r>
    </w:p>
    <w:p w:rsidR="009F3E71" w:rsidRPr="00FE3271" w:rsidRDefault="009F3E71" w:rsidP="009F3E71">
      <w:pPr>
        <w:jc w:val="both"/>
        <w:rPr>
          <w:sz w:val="24"/>
          <w:szCs w:val="24"/>
        </w:rPr>
      </w:pPr>
      <w:r w:rsidRPr="001B6CB3">
        <w:rPr>
          <w:sz w:val="24"/>
          <w:szCs w:val="24"/>
        </w:rPr>
        <w:t xml:space="preserve">4. Начальная (максимальная) цена контракта: </w:t>
      </w:r>
      <w:r w:rsidR="00C9068D">
        <w:rPr>
          <w:sz w:val="24"/>
          <w:szCs w:val="24"/>
        </w:rPr>
        <w:t xml:space="preserve">100 000,00 </w:t>
      </w:r>
      <w:r w:rsidRPr="00FE3271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C9068D">
        <w:rPr>
          <w:sz w:val="24"/>
          <w:szCs w:val="24"/>
        </w:rPr>
        <w:t>27</w:t>
      </w:r>
      <w:r w:rsidR="001B6CB3">
        <w:rPr>
          <w:sz w:val="24"/>
          <w:szCs w:val="24"/>
        </w:rPr>
        <w:t>» мая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1B6CB3" w:rsidRDefault="001B6CB3" w:rsidP="00B3658C">
            <w:pPr>
              <w:rPr>
                <w:sz w:val="24"/>
                <w:szCs w:val="24"/>
              </w:rPr>
            </w:pPr>
          </w:p>
          <w:p w:rsidR="001B6CB3" w:rsidRDefault="001B6CB3" w:rsidP="001B6CB3">
            <w:pPr>
              <w:rPr>
                <w:sz w:val="24"/>
                <w:szCs w:val="24"/>
              </w:rPr>
            </w:pPr>
          </w:p>
          <w:p w:rsidR="009F3E71" w:rsidRPr="001B6CB3" w:rsidRDefault="001B6CB3" w:rsidP="001B6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1B6CB3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  <w:p w:rsidR="001B6CB3" w:rsidRPr="001B6CB3" w:rsidRDefault="001B6CB3" w:rsidP="001B6CB3">
            <w:pPr>
              <w:rPr>
                <w:sz w:val="24"/>
                <w:szCs w:val="24"/>
              </w:rPr>
            </w:pPr>
          </w:p>
          <w:p w:rsidR="001B6CB3" w:rsidRDefault="001B6CB3" w:rsidP="001B6CB3">
            <w:pPr>
              <w:rPr>
                <w:sz w:val="24"/>
                <w:szCs w:val="24"/>
              </w:rPr>
            </w:pPr>
          </w:p>
          <w:p w:rsidR="009F3E71" w:rsidRPr="001B6CB3" w:rsidRDefault="001B6CB3" w:rsidP="001B6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6623CF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  <w:p w:rsidR="001B6CB3" w:rsidRPr="00FF3B5C" w:rsidRDefault="001B6CB3" w:rsidP="001B6CB3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FF3B5C">
              <w:rPr>
                <w:sz w:val="24"/>
                <w:szCs w:val="24"/>
              </w:rPr>
              <w:t>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9068D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1B6CB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9068D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C9068D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068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6623CF">
        <w:rPr>
          <w:sz w:val="24"/>
          <w:szCs w:val="24"/>
        </w:rPr>
        <w:t>, 4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9068D">
        <w:rPr>
          <w:sz w:val="24"/>
          <w:szCs w:val="24"/>
        </w:rPr>
        <w:t>3330000171400048</w:t>
      </w:r>
      <w:r w:rsidR="00FE327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Pr="00323757" w:rsidRDefault="00160617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60617" w:rsidRPr="00323757" w:rsidRDefault="00160617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160617" w:rsidRDefault="00160617" w:rsidP="00160617">
      <w:pPr>
        <w:pStyle w:val="a5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8.2</w:t>
      </w:r>
      <w:r w:rsidRPr="00A564FA">
        <w:rPr>
          <w:szCs w:val="24"/>
        </w:rPr>
        <w:t>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527804" w:rsidTr="009B1293">
        <w:trPr>
          <w:trHeight w:val="6421"/>
        </w:trPr>
        <w:tc>
          <w:tcPr>
            <w:tcW w:w="567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160617" w:rsidRDefault="00160617" w:rsidP="009B12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160617" w:rsidRDefault="00160617" w:rsidP="009B12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160617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160617">
              <w:rPr>
                <w:sz w:val="22"/>
                <w:szCs w:val="22"/>
              </w:rPr>
              <w:t>п. 1 раздела</w:t>
            </w:r>
            <w:r>
              <w:rPr>
                <w:sz w:val="22"/>
                <w:szCs w:val="22"/>
              </w:rPr>
              <w:t xml:space="preserve">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160617" w:rsidRDefault="00160617" w:rsidP="009B12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, в том числе </w:t>
            </w:r>
            <w:r w:rsidR="00F66BAD">
              <w:rPr>
                <w:sz w:val="22"/>
                <w:szCs w:val="22"/>
              </w:rPr>
              <w:t xml:space="preserve">товаром </w:t>
            </w:r>
            <w:r w:rsidRPr="00160617">
              <w:rPr>
                <w:sz w:val="22"/>
                <w:szCs w:val="22"/>
              </w:rPr>
              <w:t xml:space="preserve">«Краска масляная цветная густотертая»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 аукциона</w:t>
            </w:r>
            <w:r>
              <w:rPr>
                <w:sz w:val="22"/>
                <w:szCs w:val="22"/>
              </w:rPr>
              <w:t>);</w:t>
            </w:r>
            <w:proofErr w:type="gramEnd"/>
          </w:p>
          <w:p w:rsidR="00160617" w:rsidRPr="00762A9D" w:rsidRDefault="00160617" w:rsidP="00D216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</w:t>
            </w:r>
            <w:r w:rsidR="00D21667">
              <w:rPr>
                <w:bCs/>
                <w:sz w:val="22"/>
                <w:szCs w:val="22"/>
              </w:rPr>
              <w:t>п. 5</w:t>
            </w:r>
            <w:r w:rsidRPr="00160617"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="00D21667">
              <w:rPr>
                <w:sz w:val="22"/>
                <w:szCs w:val="22"/>
              </w:rPr>
              <w:t>п. 5</w:t>
            </w:r>
            <w:r w:rsidRPr="00D216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  <w:tr w:rsidR="00F66BAD" w:rsidRPr="00527804" w:rsidTr="009B1293">
        <w:trPr>
          <w:trHeight w:val="276"/>
        </w:trPr>
        <w:tc>
          <w:tcPr>
            <w:tcW w:w="567" w:type="dxa"/>
          </w:tcPr>
          <w:p w:rsidR="00F66BAD" w:rsidRPr="00527804" w:rsidRDefault="00F66BAD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bookmarkStart w:id="0" w:name="_GoBack" w:colFirst="3" w:colLast="3"/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66BAD" w:rsidRDefault="00F66BAD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F66BAD" w:rsidRPr="00527804" w:rsidRDefault="00F66BAD" w:rsidP="009B12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F66BAD" w:rsidRDefault="00F66BAD" w:rsidP="00081F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F66BAD" w:rsidRDefault="00F66BAD" w:rsidP="00081F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160617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160617">
              <w:rPr>
                <w:sz w:val="22"/>
                <w:szCs w:val="22"/>
              </w:rPr>
              <w:t>п. 1 раздела</w:t>
            </w:r>
            <w:r>
              <w:rPr>
                <w:sz w:val="22"/>
                <w:szCs w:val="22"/>
              </w:rPr>
              <w:t xml:space="preserve">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F66BAD" w:rsidRDefault="00F66BAD" w:rsidP="00081F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, в том числе товаром </w:t>
            </w:r>
            <w:r w:rsidRPr="00160617">
              <w:rPr>
                <w:sz w:val="22"/>
                <w:szCs w:val="22"/>
              </w:rPr>
              <w:t xml:space="preserve">«Краска масляная цветная густотертая»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</w:t>
            </w:r>
            <w:r w:rsidRPr="00527804">
              <w:rPr>
                <w:sz w:val="22"/>
                <w:szCs w:val="22"/>
              </w:rPr>
              <w:lastRenderedPageBreak/>
              <w:t>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 аукциона</w:t>
            </w:r>
            <w:r>
              <w:rPr>
                <w:sz w:val="22"/>
                <w:szCs w:val="22"/>
              </w:rPr>
              <w:t>);</w:t>
            </w:r>
            <w:proofErr w:type="gramEnd"/>
          </w:p>
          <w:p w:rsidR="00F66BAD" w:rsidRPr="00762A9D" w:rsidRDefault="00F66BAD" w:rsidP="00081F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(п. 5</w:t>
            </w:r>
            <w:r w:rsidRPr="00160617"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5</w:t>
            </w:r>
            <w:r w:rsidRPr="00D216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</w:tbl>
    <w:bookmarkEnd w:id="0"/>
    <w:p w:rsidR="00875D6B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563DA">
        <w:rPr>
          <w:sz w:val="24"/>
          <w:szCs w:val="24"/>
        </w:rPr>
        <w:lastRenderedPageBreak/>
        <w:t>9</w:t>
      </w:r>
      <w:r w:rsidR="00B3658C" w:rsidRPr="007563D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7563DA" w:rsidTr="009746C1">
        <w:tc>
          <w:tcPr>
            <w:tcW w:w="56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№</w:t>
            </w:r>
          </w:p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E6EB6">
              <w:rPr>
                <w:sz w:val="22"/>
                <w:szCs w:val="22"/>
              </w:rPr>
              <w:t>п</w:t>
            </w:r>
            <w:proofErr w:type="gramEnd"/>
            <w:r w:rsidRPr="00FE6EB6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60617" w:rsidRPr="007563DA" w:rsidTr="004D1BD9">
        <w:tc>
          <w:tcPr>
            <w:tcW w:w="567" w:type="dxa"/>
            <w:shd w:val="clear" w:color="auto" w:fill="auto"/>
          </w:tcPr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0617" w:rsidRPr="00FE6EB6" w:rsidRDefault="00160617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 xml:space="preserve">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60617" w:rsidRPr="00FE6EB6" w:rsidRDefault="00160617" w:rsidP="009B129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160617" w:rsidRPr="00FE6EB6" w:rsidRDefault="00160617" w:rsidP="009B129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160617" w:rsidRPr="00FE6EB6" w:rsidRDefault="00160617" w:rsidP="009B129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И.В. Иванкина</w:t>
            </w:r>
          </w:p>
          <w:p w:rsidR="00160617" w:rsidRPr="00FE6EB6" w:rsidRDefault="00160617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 w:rsidR="00FE6EB6"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160617" w:rsidRPr="007563DA" w:rsidTr="001F2CF5">
        <w:tc>
          <w:tcPr>
            <w:tcW w:w="567" w:type="dxa"/>
            <w:shd w:val="clear" w:color="auto" w:fill="auto"/>
          </w:tcPr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0617" w:rsidRPr="00FE6EB6" w:rsidRDefault="00160617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 xml:space="preserve">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60617" w:rsidRPr="00FE6EB6" w:rsidRDefault="00160617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160617" w:rsidRPr="00FE6EB6" w:rsidRDefault="00160617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160617" w:rsidRPr="00FE6EB6" w:rsidRDefault="00160617" w:rsidP="00FA76E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И.В. Иванкина</w:t>
            </w:r>
          </w:p>
          <w:p w:rsidR="00160617" w:rsidRPr="00FE6EB6" w:rsidRDefault="00160617" w:rsidP="00FA76E0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 w:rsidR="00FE6EB6"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160617" w:rsidRPr="007563DA" w:rsidTr="00DC7A62">
        <w:tc>
          <w:tcPr>
            <w:tcW w:w="567" w:type="dxa"/>
            <w:shd w:val="clear" w:color="auto" w:fill="auto"/>
          </w:tcPr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И.В. Иванкина</w:t>
            </w:r>
          </w:p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 w:rsidR="00FE6EB6"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60617" w:rsidRPr="00FE6EB6" w:rsidRDefault="00160617" w:rsidP="001D21A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160617" w:rsidRPr="007563DA" w:rsidTr="004842E3">
        <w:tc>
          <w:tcPr>
            <w:tcW w:w="567" w:type="dxa"/>
            <w:shd w:val="clear" w:color="auto" w:fill="auto"/>
          </w:tcPr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160617" w:rsidRPr="00FE6EB6" w:rsidRDefault="00160617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И.В. Иванкина</w:t>
            </w:r>
          </w:p>
          <w:p w:rsidR="00160617" w:rsidRPr="00FE6EB6" w:rsidRDefault="00160617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 w:rsidR="00FE6EB6"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60617" w:rsidRPr="00FE6EB6" w:rsidRDefault="00160617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</w:tbl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C375F3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D86080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7563D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D86080">
        <w:trPr>
          <w:trHeight w:val="65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7563DA" w:rsidRPr="00A564FA">
              <w:rPr>
                <w:sz w:val="24"/>
                <w:szCs w:val="24"/>
              </w:rPr>
              <w:t xml:space="preserve"> Е.В. Сергеева </w:t>
            </w:r>
            <w:r w:rsidRPr="00A564FA">
              <w:rPr>
                <w:sz w:val="24"/>
                <w:szCs w:val="24"/>
              </w:rPr>
              <w:t>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1352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7563DA" w:rsidRPr="00A564FA">
              <w:rPr>
                <w:sz w:val="24"/>
                <w:szCs w:val="24"/>
              </w:rPr>
              <w:t xml:space="preserve"> </w:t>
            </w:r>
            <w:r w:rsidR="007563DA">
              <w:rPr>
                <w:sz w:val="24"/>
                <w:szCs w:val="24"/>
              </w:rPr>
              <w:t>И.В. Иванкина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D86080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160617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65BA4"/>
    <w:rsid w:val="000819AA"/>
    <w:rsid w:val="00093CD2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33772"/>
    <w:rsid w:val="00580E61"/>
    <w:rsid w:val="00586693"/>
    <w:rsid w:val="0060041C"/>
    <w:rsid w:val="0064357E"/>
    <w:rsid w:val="006623CF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8055C9"/>
    <w:rsid w:val="00813715"/>
    <w:rsid w:val="00827712"/>
    <w:rsid w:val="00835B22"/>
    <w:rsid w:val="00837F71"/>
    <w:rsid w:val="008572CD"/>
    <w:rsid w:val="00875D6B"/>
    <w:rsid w:val="008909A7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D5D33"/>
    <w:rsid w:val="00B25362"/>
    <w:rsid w:val="00B3658C"/>
    <w:rsid w:val="00B44810"/>
    <w:rsid w:val="00B51412"/>
    <w:rsid w:val="00B63E4C"/>
    <w:rsid w:val="00BB172D"/>
    <w:rsid w:val="00BC3F0F"/>
    <w:rsid w:val="00BD6B31"/>
    <w:rsid w:val="00C32132"/>
    <w:rsid w:val="00C35A17"/>
    <w:rsid w:val="00C375F3"/>
    <w:rsid w:val="00C508EA"/>
    <w:rsid w:val="00C57C7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6E01"/>
    <w:rsid w:val="00EB4337"/>
    <w:rsid w:val="00F45D11"/>
    <w:rsid w:val="00F612E1"/>
    <w:rsid w:val="00F654BF"/>
    <w:rsid w:val="00F66BAD"/>
    <w:rsid w:val="00F82B6E"/>
    <w:rsid w:val="00F84C0E"/>
    <w:rsid w:val="00FA58ED"/>
    <w:rsid w:val="00FC242F"/>
    <w:rsid w:val="00FE3271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CEC2-1767-40C1-96CB-24CDBF4D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14</cp:revision>
  <cp:lastPrinted>2014-06-16T12:35:00Z</cp:lastPrinted>
  <dcterms:created xsi:type="dcterms:W3CDTF">2014-06-09T04:51:00Z</dcterms:created>
  <dcterms:modified xsi:type="dcterms:W3CDTF">2014-06-16T13:26:00Z</dcterms:modified>
</cp:coreProperties>
</file>