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4020B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0133300001714001142</w:t>
      </w:r>
    </w:p>
    <w:p w:rsidR="0015031E" w:rsidRPr="007E01BB" w:rsidRDefault="0015031E" w:rsidP="0015031E">
      <w:pPr>
        <w:ind w:left="284" w:right="-193"/>
        <w:jc w:val="center"/>
        <w:rPr>
          <w:b/>
          <w:i/>
          <w:sz w:val="12"/>
          <w:szCs w:val="12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4020B5">
              <w:rPr>
                <w:sz w:val="24"/>
                <w:szCs w:val="24"/>
              </w:rPr>
              <w:t>27</w:t>
            </w:r>
            <w:r w:rsidR="00195D2D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C555E1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4020B5" w:rsidRPr="004020B5">
        <w:rPr>
          <w:sz w:val="24"/>
          <w:szCs w:val="24"/>
        </w:rPr>
        <w:t>Управление благоустройства Администрации города Иванова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4020B5">
        <w:rPr>
          <w:sz w:val="24"/>
          <w:szCs w:val="24"/>
        </w:rPr>
        <w:t>0133300001714001142</w:t>
      </w:r>
      <w:r w:rsidRPr="00C555E1">
        <w:rPr>
          <w:sz w:val="24"/>
          <w:szCs w:val="24"/>
        </w:rPr>
        <w:t xml:space="preserve"> проводилась аукционной комиссией по </w:t>
      </w:r>
      <w:r w:rsidR="004020B5">
        <w:rPr>
          <w:sz w:val="24"/>
          <w:szCs w:val="24"/>
        </w:rPr>
        <w:t>осуществлению закупок 27</w:t>
      </w:r>
      <w:r w:rsidR="00195D2D">
        <w:rPr>
          <w:sz w:val="24"/>
          <w:szCs w:val="24"/>
        </w:rPr>
        <w:t>.10</w:t>
      </w:r>
      <w:r w:rsidRPr="00C555E1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4020B5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3. Наименование объекта закупки</w:t>
      </w:r>
      <w:r w:rsidRPr="00C555E1">
        <w:rPr>
          <w:rFonts w:eastAsia="Calibri"/>
          <w:sz w:val="24"/>
          <w:szCs w:val="24"/>
        </w:rPr>
        <w:t>:</w:t>
      </w:r>
      <w:r w:rsidRPr="00C555E1">
        <w:rPr>
          <w:sz w:val="24"/>
          <w:szCs w:val="24"/>
        </w:rPr>
        <w:t xml:space="preserve"> </w:t>
      </w:r>
      <w:r w:rsidR="001F6983" w:rsidRPr="004020B5">
        <w:rPr>
          <w:sz w:val="24"/>
          <w:szCs w:val="24"/>
        </w:rPr>
        <w:t>«</w:t>
      </w:r>
      <w:r w:rsidR="004020B5" w:rsidRPr="004020B5">
        <w:rPr>
          <w:sz w:val="24"/>
          <w:szCs w:val="24"/>
        </w:rPr>
        <w:t>Капитальный ремонт и ремонт объектов уличного освещения, замена светильников</w:t>
      </w:r>
      <w:r w:rsidR="001F6983" w:rsidRPr="004020B5">
        <w:rPr>
          <w:sz w:val="24"/>
          <w:szCs w:val="24"/>
        </w:rPr>
        <w:t>».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 xml:space="preserve">онтракта: </w:t>
      </w:r>
      <w:r w:rsidR="004020B5" w:rsidRPr="004020B5">
        <w:rPr>
          <w:sz w:val="24"/>
          <w:szCs w:val="24"/>
        </w:rPr>
        <w:t xml:space="preserve">2 282 757,00 </w:t>
      </w:r>
      <w:r w:rsidR="006E7052" w:rsidRPr="004020B5">
        <w:rPr>
          <w:sz w:val="24"/>
          <w:szCs w:val="24"/>
        </w:rPr>
        <w:t xml:space="preserve"> </w:t>
      </w:r>
      <w:r w:rsidRPr="004020B5">
        <w:rPr>
          <w:sz w:val="24"/>
          <w:szCs w:val="24"/>
        </w:rPr>
        <w:t>руб.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4020B5">
        <w:rPr>
          <w:sz w:val="24"/>
          <w:szCs w:val="24"/>
        </w:rPr>
        <w:t>щены «16</w:t>
      </w:r>
      <w:r w:rsidR="00CB2DC9" w:rsidRPr="00C555E1">
        <w:rPr>
          <w:sz w:val="24"/>
          <w:szCs w:val="24"/>
        </w:rPr>
        <w:t xml:space="preserve">» </w:t>
      </w:r>
      <w:r w:rsidR="004020B5">
        <w:rPr>
          <w:sz w:val="24"/>
          <w:szCs w:val="24"/>
        </w:rPr>
        <w:t>октября</w:t>
      </w:r>
      <w:r w:rsidRPr="00C555E1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p w:rsidR="004020B5" w:rsidRDefault="004020B5" w:rsidP="00195D2D">
      <w:pPr>
        <w:spacing w:line="240" w:lineRule="atLeast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186"/>
      </w:tblGrid>
      <w:tr w:rsidR="004020B5" w:rsidRPr="00D85B91" w:rsidTr="004020B5">
        <w:trPr>
          <w:trHeight w:val="777"/>
        </w:trPr>
        <w:tc>
          <w:tcPr>
            <w:tcW w:w="2481" w:type="dxa"/>
          </w:tcPr>
          <w:p w:rsidR="004020B5" w:rsidRPr="00D85B91" w:rsidRDefault="004020B5" w:rsidP="00CF7B86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4020B5" w:rsidRPr="00D85B91" w:rsidRDefault="004020B5" w:rsidP="00CF7B86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-</w:t>
            </w:r>
          </w:p>
        </w:tc>
        <w:tc>
          <w:tcPr>
            <w:tcW w:w="7186" w:type="dxa"/>
          </w:tcPr>
          <w:p w:rsidR="004020B5" w:rsidRPr="00D85B91" w:rsidRDefault="004020B5" w:rsidP="00CF7B86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D85B91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D85B91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4020B5" w:rsidRPr="00D85B91" w:rsidTr="004020B5">
        <w:trPr>
          <w:trHeight w:val="849"/>
        </w:trPr>
        <w:tc>
          <w:tcPr>
            <w:tcW w:w="2481" w:type="dxa"/>
          </w:tcPr>
          <w:p w:rsidR="004020B5" w:rsidRPr="00D85B91" w:rsidRDefault="004020B5" w:rsidP="00CF7B86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 xml:space="preserve"> Е.В. Сергеева</w:t>
            </w:r>
          </w:p>
          <w:p w:rsidR="004020B5" w:rsidRPr="00D85B91" w:rsidRDefault="004020B5" w:rsidP="00CF7B86">
            <w:pPr>
              <w:rPr>
                <w:sz w:val="24"/>
                <w:szCs w:val="24"/>
              </w:rPr>
            </w:pPr>
          </w:p>
          <w:p w:rsidR="004020B5" w:rsidRPr="00D85B91" w:rsidRDefault="004020B5" w:rsidP="00CF7B86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4020B5" w:rsidRPr="00D85B91" w:rsidRDefault="004020B5" w:rsidP="00CF7B86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-</w:t>
            </w:r>
          </w:p>
          <w:p w:rsidR="004020B5" w:rsidRPr="00D85B91" w:rsidRDefault="004020B5" w:rsidP="00CF7B86">
            <w:pPr>
              <w:rPr>
                <w:sz w:val="24"/>
                <w:szCs w:val="24"/>
              </w:rPr>
            </w:pPr>
          </w:p>
          <w:p w:rsidR="004020B5" w:rsidRPr="00D85B91" w:rsidRDefault="004020B5" w:rsidP="00CF7B86">
            <w:pPr>
              <w:rPr>
                <w:sz w:val="24"/>
                <w:szCs w:val="24"/>
              </w:rPr>
            </w:pPr>
          </w:p>
        </w:tc>
        <w:tc>
          <w:tcPr>
            <w:tcW w:w="7186" w:type="dxa"/>
          </w:tcPr>
          <w:p w:rsidR="004020B5" w:rsidRPr="00D85B91" w:rsidRDefault="004020B5" w:rsidP="00CF7B86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020B5" w:rsidRPr="00D85B91" w:rsidTr="004020B5">
        <w:trPr>
          <w:trHeight w:val="849"/>
        </w:trPr>
        <w:tc>
          <w:tcPr>
            <w:tcW w:w="2481" w:type="dxa"/>
          </w:tcPr>
          <w:p w:rsidR="004020B5" w:rsidRPr="00D85B91" w:rsidRDefault="004020B5" w:rsidP="00CF7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8" w:type="dxa"/>
          </w:tcPr>
          <w:p w:rsidR="004020B5" w:rsidRPr="00D85B91" w:rsidRDefault="004020B5" w:rsidP="00CF7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6" w:type="dxa"/>
          </w:tcPr>
          <w:p w:rsidR="004020B5" w:rsidRPr="00D85B91" w:rsidRDefault="004020B5" w:rsidP="00CF7B86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020B5" w:rsidRPr="00D85B91" w:rsidTr="004020B5">
        <w:trPr>
          <w:trHeight w:val="849"/>
        </w:trPr>
        <w:tc>
          <w:tcPr>
            <w:tcW w:w="2481" w:type="dxa"/>
          </w:tcPr>
          <w:p w:rsidR="004020B5" w:rsidRPr="00D85B91" w:rsidRDefault="004020B5" w:rsidP="00CF7B86">
            <w:pPr>
              <w:spacing w:before="120"/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D85B91">
              <w:rPr>
                <w:sz w:val="24"/>
                <w:szCs w:val="24"/>
              </w:rPr>
              <w:tab/>
            </w:r>
            <w:r w:rsidRPr="00D85B91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4020B5" w:rsidRPr="00D85B91" w:rsidRDefault="004020B5" w:rsidP="00CF7B86">
            <w:pPr>
              <w:spacing w:before="120"/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-</w:t>
            </w:r>
          </w:p>
        </w:tc>
        <w:tc>
          <w:tcPr>
            <w:tcW w:w="7186" w:type="dxa"/>
          </w:tcPr>
          <w:p w:rsidR="004020B5" w:rsidRPr="00D85B91" w:rsidRDefault="004020B5" w:rsidP="00CF7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D85B91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D85B91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Pr="00D85B91">
              <w:rPr>
                <w:sz w:val="24"/>
                <w:szCs w:val="24"/>
              </w:rPr>
              <w:t xml:space="preserve"> управления муниципального заказа Администрации гор</w:t>
            </w:r>
            <w:r>
              <w:rPr>
                <w:sz w:val="24"/>
                <w:szCs w:val="24"/>
              </w:rPr>
              <w:t>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4020B5" w:rsidRDefault="004020B5" w:rsidP="00195D2D">
      <w:pPr>
        <w:spacing w:line="240" w:lineRule="atLeast"/>
        <w:jc w:val="both"/>
        <w:rPr>
          <w:sz w:val="24"/>
          <w:szCs w:val="24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4020B5">
        <w:rPr>
          <w:sz w:val="24"/>
          <w:szCs w:val="24"/>
        </w:rPr>
        <w:t>24</w:t>
      </w:r>
      <w:r w:rsidRPr="00966CC6">
        <w:rPr>
          <w:sz w:val="24"/>
          <w:szCs w:val="24"/>
        </w:rPr>
        <w:t xml:space="preserve">» </w:t>
      </w:r>
      <w:r w:rsidR="004020B5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13D43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513D43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513D43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7E01BB">
        <w:rPr>
          <w:sz w:val="24"/>
          <w:szCs w:val="24"/>
        </w:rPr>
        <w:t xml:space="preserve">ами: 1, 2, </w:t>
      </w:r>
      <w:r w:rsidR="00513D43">
        <w:rPr>
          <w:sz w:val="24"/>
          <w:szCs w:val="24"/>
        </w:rPr>
        <w:t>3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43287">
        <w:rPr>
          <w:sz w:val="24"/>
          <w:szCs w:val="24"/>
        </w:rPr>
        <w:t>аукционе № 0133300001714001142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</w:t>
            </w:r>
            <w:r w:rsidRPr="007E01BB">
              <w:rPr>
                <w:sz w:val="22"/>
                <w:szCs w:val="22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 xml:space="preserve">Заявка участника электронного аукциона соответствует требованиям, установленным </w:t>
            </w:r>
            <w:r w:rsidRPr="007E01BB">
              <w:rPr>
                <w:sz w:val="22"/>
                <w:szCs w:val="22"/>
              </w:rPr>
              <w:lastRenderedPageBreak/>
              <w:t>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EA6705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</w:tcPr>
          <w:p w:rsidR="00B179A3" w:rsidRPr="007E01BB" w:rsidRDefault="005935AD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C555E1" w:rsidRDefault="00C555E1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81450D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343287" w:rsidRPr="007E01BB" w:rsidRDefault="00343287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81450D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343287" w:rsidRPr="007E01BB" w:rsidRDefault="00343287" w:rsidP="0034328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81450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343287" w:rsidRPr="007E01BB" w:rsidRDefault="00343287" w:rsidP="0034328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5935AD" w:rsidRPr="007E01BB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7E01BB" w:rsidRDefault="00195D2D" w:rsidP="005935AD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5935AD" w:rsidP="00EA6705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  <w:bookmarkStart w:id="0" w:name="_GoBack"/>
      <w:bookmarkEnd w:id="0"/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343287" w:rsidRPr="00CB2DC9">
              <w:rPr>
                <w:sz w:val="24"/>
                <w:szCs w:val="24"/>
              </w:rPr>
              <w:t xml:space="preserve"> </w:t>
            </w:r>
            <w:r w:rsidR="00343287" w:rsidRPr="00CB2DC9">
              <w:rPr>
                <w:sz w:val="24"/>
                <w:szCs w:val="24"/>
              </w:rPr>
              <w:t>Е.Л. Седых</w:t>
            </w:r>
            <w:r w:rsidR="00343287" w:rsidRPr="00CB2DC9">
              <w:rPr>
                <w:sz w:val="24"/>
                <w:szCs w:val="24"/>
              </w:rPr>
              <w:t xml:space="preserve"> </w:t>
            </w:r>
            <w:r w:rsidRPr="00CB2DC9">
              <w:rPr>
                <w:sz w:val="24"/>
                <w:szCs w:val="24"/>
              </w:rPr>
              <w:t xml:space="preserve">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343287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</w:t>
            </w:r>
            <w:r w:rsidR="00343287">
              <w:rPr>
                <w:sz w:val="24"/>
                <w:szCs w:val="24"/>
              </w:rPr>
              <w:t>В. Сергеева</w:t>
            </w: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195D2D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195D2D">
              <w:rPr>
                <w:sz w:val="24"/>
                <w:szCs w:val="24"/>
              </w:rPr>
              <w:t xml:space="preserve">С.О. </w:t>
            </w:r>
            <w:proofErr w:type="spellStart"/>
            <w:r w:rsidR="00195D2D">
              <w:rPr>
                <w:sz w:val="24"/>
                <w:szCs w:val="24"/>
              </w:rPr>
              <w:t>Гурылева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555E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D2D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43287"/>
    <w:rsid w:val="003E0389"/>
    <w:rsid w:val="004020B5"/>
    <w:rsid w:val="00402E0F"/>
    <w:rsid w:val="00422456"/>
    <w:rsid w:val="004616C3"/>
    <w:rsid w:val="0047083F"/>
    <w:rsid w:val="00497F61"/>
    <w:rsid w:val="004B160D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E7052"/>
    <w:rsid w:val="006F7E0C"/>
    <w:rsid w:val="00741A69"/>
    <w:rsid w:val="00767CD7"/>
    <w:rsid w:val="0078796A"/>
    <w:rsid w:val="007D23EA"/>
    <w:rsid w:val="007D5298"/>
    <w:rsid w:val="007E01BB"/>
    <w:rsid w:val="00803F58"/>
    <w:rsid w:val="0080486A"/>
    <w:rsid w:val="0081450D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83CE-F7A1-41BB-A5EE-1639DAF2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7</cp:revision>
  <cp:lastPrinted>2014-09-30T05:29:00Z</cp:lastPrinted>
  <dcterms:created xsi:type="dcterms:W3CDTF">2014-09-30T05:21:00Z</dcterms:created>
  <dcterms:modified xsi:type="dcterms:W3CDTF">2014-10-27T06:03:00Z</dcterms:modified>
</cp:coreProperties>
</file>